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无创呼吸机</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0"/>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hint="eastAsia"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9"/>
          <w:rFonts w:hint="eastAsia" w:ascii="仿宋" w:hAnsi="仿宋" w:eastAsia="仿宋" w:cs="仿宋"/>
          <w:b/>
          <w:bCs w:val="0"/>
          <w:color w:val="auto"/>
          <w:sz w:val="21"/>
          <w:szCs w:val="21"/>
          <w:lang w:eastAsia="zh-CN"/>
        </w:rPr>
        <w:t>或具备</w:t>
      </w:r>
      <w:r>
        <w:rPr>
          <w:rStyle w:val="9"/>
          <w:rFonts w:hint="eastAsia" w:ascii="仿宋" w:hAnsi="仿宋" w:eastAsia="仿宋" w:cs="仿宋"/>
          <w:b/>
          <w:bCs w:val="0"/>
          <w:color w:val="auto"/>
          <w:sz w:val="21"/>
          <w:szCs w:val="21"/>
          <w:lang w:val="en-US" w:eastAsia="zh-CN"/>
        </w:rPr>
        <w:t>CMA【或CNAS】资质检测机构）</w:t>
      </w:r>
      <w:r>
        <w:rPr>
          <w:rStyle w:val="9"/>
          <w:rFonts w:hint="eastAsia" w:ascii="仿宋" w:hAnsi="仿宋" w:eastAsia="仿宋" w:cs="仿宋"/>
          <w:b w:val="0"/>
          <w:bCs/>
          <w:color w:val="auto"/>
          <w:sz w:val="21"/>
          <w:szCs w:val="21"/>
          <w:lang w:val="en-US" w:eastAsia="zh-CN"/>
        </w:rPr>
        <w:t>出具的</w:t>
      </w:r>
      <w:r>
        <w:rPr>
          <w:rStyle w:val="9"/>
          <w:rFonts w:hint="eastAsia" w:ascii="仿宋" w:hAnsi="仿宋" w:eastAsia="仿宋" w:cs="仿宋"/>
          <w:b w:val="0"/>
          <w:bCs/>
          <w:color w:val="auto"/>
          <w:sz w:val="21"/>
          <w:szCs w:val="21"/>
        </w:rPr>
        <w:t>质检报告原件扫描件</w:t>
      </w:r>
      <w:r>
        <w:rPr>
          <w:rStyle w:val="9"/>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9"/>
          <w:rFonts w:hint="eastAsia" w:ascii="仿宋" w:hAnsi="仿宋" w:eastAsia="仿宋" w:cs="仿宋"/>
          <w:b w:val="0"/>
          <w:bCs/>
          <w:color w:val="auto"/>
          <w:sz w:val="21"/>
          <w:szCs w:val="21"/>
        </w:rPr>
        <w:t>食药监局</w:t>
      </w:r>
      <w:r>
        <w:rPr>
          <w:rStyle w:val="9"/>
          <w:rFonts w:hint="eastAsia" w:ascii="仿宋" w:hAnsi="仿宋" w:eastAsia="仿宋" w:cs="仿宋"/>
          <w:b w:val="0"/>
          <w:bCs/>
          <w:color w:val="auto"/>
          <w:sz w:val="21"/>
          <w:szCs w:val="21"/>
          <w:lang w:eastAsia="zh-CN"/>
        </w:rPr>
        <w:t>或</w:t>
      </w:r>
      <w:r>
        <w:rPr>
          <w:rStyle w:val="9"/>
          <w:rFonts w:hint="eastAsia" w:ascii="仿宋" w:hAnsi="仿宋" w:eastAsia="仿宋" w:cs="仿宋"/>
          <w:b w:val="0"/>
          <w:bCs/>
          <w:color w:val="auto"/>
          <w:sz w:val="21"/>
          <w:szCs w:val="21"/>
        </w:rPr>
        <w:t>其下属单位</w:t>
      </w:r>
      <w:r>
        <w:rPr>
          <w:rStyle w:val="9"/>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tbl>
      <w:tblPr>
        <w:tblStyle w:val="6"/>
        <w:tblpPr w:leftFromText="180" w:rightFromText="180" w:vertAnchor="text" w:horzAnchor="page" w:tblpX="1457" w:tblpY="479"/>
        <w:tblOverlap w:val="never"/>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4072"/>
        <w:gridCol w:w="998"/>
        <w:gridCol w:w="1202"/>
        <w:gridCol w:w="1202"/>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464" w:type="dxa"/>
            <w:vMerge w:val="restart"/>
            <w:tcBorders>
              <w:top w:val="single" w:color="auto" w:sz="4" w:space="0"/>
              <w:left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序号</w:t>
            </w:r>
          </w:p>
        </w:tc>
        <w:tc>
          <w:tcPr>
            <w:tcW w:w="4072"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bCs/>
                <w:sz w:val="24"/>
                <w:szCs w:val="24"/>
              </w:rPr>
            </w:pPr>
            <w:r>
              <w:rPr>
                <w:rFonts w:hint="eastAsia" w:ascii="宋体" w:hAnsi="宋体"/>
                <w:b/>
                <w:sz w:val="24"/>
                <w:szCs w:val="24"/>
              </w:rPr>
              <w:t>本项目初步参数拟设置情况</w:t>
            </w:r>
          </w:p>
        </w:tc>
        <w:tc>
          <w:tcPr>
            <w:tcW w:w="998" w:type="dxa"/>
            <w:vMerge w:val="restart"/>
            <w:tcBorders>
              <w:top w:val="single" w:color="auto" w:sz="4" w:space="0"/>
              <w:left w:val="single" w:color="auto" w:sz="4" w:space="0"/>
              <w:right w:val="single" w:color="auto" w:sz="4" w:space="0"/>
            </w:tcBorders>
          </w:tcPr>
          <w:p>
            <w:pPr>
              <w:spacing w:line="320" w:lineRule="exact"/>
              <w:rPr>
                <w:rFonts w:hint="eastAsia" w:ascii="宋体" w:hAnsi="宋体"/>
                <w:b/>
                <w:sz w:val="24"/>
                <w:szCs w:val="24"/>
              </w:rPr>
            </w:pPr>
            <w:r>
              <w:rPr>
                <w:rFonts w:hint="eastAsia" w:ascii="仿宋" w:hAnsi="仿宋" w:eastAsia="仿宋" w:cs="仿宋"/>
                <w:b w:val="0"/>
                <w:bCs/>
                <w:sz w:val="24"/>
                <w:szCs w:val="24"/>
                <w:lang w:eastAsia="zh-CN"/>
              </w:rPr>
              <w:t>是否设置为为★</w:t>
            </w:r>
          </w:p>
        </w:tc>
        <w:tc>
          <w:tcPr>
            <w:tcW w:w="1202"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Cs/>
                <w:sz w:val="24"/>
                <w:szCs w:val="24"/>
              </w:rPr>
              <w:t>响应情况</w:t>
            </w:r>
          </w:p>
        </w:tc>
        <w:tc>
          <w:tcPr>
            <w:tcW w:w="1202"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
                <w:sz w:val="24"/>
                <w:szCs w:val="24"/>
              </w:rPr>
              <w:t>建议修改指标</w:t>
            </w:r>
          </w:p>
        </w:tc>
        <w:tc>
          <w:tcPr>
            <w:tcW w:w="1747"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
                <w:sz w:val="24"/>
                <w:szCs w:val="24"/>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64" w:type="dxa"/>
            <w:vMerge w:val="continue"/>
            <w:tcBorders>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rPr>
            </w:pPr>
          </w:p>
        </w:tc>
        <w:tc>
          <w:tcPr>
            <w:tcW w:w="4072" w:type="dxa"/>
            <w:tcBorders>
              <w:top w:val="single" w:color="auto" w:sz="4" w:space="0"/>
              <w:left w:val="single" w:color="auto" w:sz="4" w:space="0"/>
              <w:bottom w:val="single" w:color="auto" w:sz="4" w:space="0"/>
              <w:right w:val="single" w:color="auto" w:sz="4" w:space="0"/>
            </w:tcBorders>
          </w:tcPr>
          <w:p>
            <w:pPr>
              <w:spacing w:line="320" w:lineRule="exact"/>
              <w:rPr>
                <w:rFonts w:hint="eastAsia" w:ascii="仿宋" w:hAnsi="仿宋" w:eastAsia="仿宋"/>
                <w:b/>
                <w:sz w:val="28"/>
                <w:szCs w:val="28"/>
              </w:rPr>
            </w:pPr>
            <w:r>
              <w:rPr>
                <w:rFonts w:hint="eastAsia" w:ascii="仿宋" w:hAnsi="仿宋" w:eastAsia="仿宋"/>
                <w:b/>
                <w:sz w:val="28"/>
                <w:szCs w:val="28"/>
              </w:rPr>
              <w:t>参数要求</w:t>
            </w:r>
          </w:p>
        </w:tc>
        <w:tc>
          <w:tcPr>
            <w:tcW w:w="998" w:type="dxa"/>
            <w:vMerge w:val="continue"/>
            <w:tcBorders>
              <w:left w:val="single" w:color="auto" w:sz="4" w:space="0"/>
              <w:bottom w:val="single" w:color="auto" w:sz="4" w:space="0"/>
              <w:right w:val="single" w:color="auto" w:sz="4" w:space="0"/>
            </w:tcBorders>
          </w:tcPr>
          <w:p>
            <w:pPr>
              <w:spacing w:line="320" w:lineRule="exact"/>
              <w:rPr>
                <w:rFonts w:hint="eastAsia" w:ascii="仿宋" w:hAnsi="仿宋" w:eastAsia="仿宋"/>
                <w:b/>
                <w:sz w:val="28"/>
                <w:szCs w:val="28"/>
              </w:rPr>
            </w:pPr>
          </w:p>
        </w:tc>
        <w:tc>
          <w:tcPr>
            <w:tcW w:w="1202"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Cs/>
                <w:sz w:val="24"/>
                <w:szCs w:val="24"/>
              </w:rPr>
            </w:pPr>
          </w:p>
        </w:tc>
        <w:tc>
          <w:tcPr>
            <w:tcW w:w="1202"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
                <w:sz w:val="24"/>
                <w:szCs w:val="24"/>
              </w:rPr>
            </w:pPr>
          </w:p>
        </w:tc>
        <w:tc>
          <w:tcPr>
            <w:tcW w:w="1747" w:type="dxa"/>
            <w:vMerge w:val="continue"/>
            <w:tcBorders>
              <w:left w:val="single" w:color="auto" w:sz="4" w:space="0"/>
              <w:right w:val="single" w:color="auto" w:sz="4" w:space="0"/>
            </w:tcBorders>
          </w:tcPr>
          <w:p>
            <w:pPr>
              <w:spacing w:line="32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1</w:t>
            </w:r>
          </w:p>
        </w:tc>
        <w:tc>
          <w:tcPr>
            <w:tcW w:w="407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Arial" w:asciiTheme="minorEastAsia" w:hAnsiTheme="minorEastAsia"/>
                <w:sz w:val="24"/>
                <w:szCs w:val="24"/>
              </w:rPr>
              <w:t>原装进口，国际知名品牌，具有FDA和CE认证</w:t>
            </w:r>
          </w:p>
        </w:tc>
        <w:tc>
          <w:tcPr>
            <w:tcW w:w="998"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cs="Arial" w:asciiTheme="minorEastAsia" w:hAnsiTheme="minorEastAsia"/>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747"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2</w:t>
            </w:r>
          </w:p>
        </w:tc>
        <w:tc>
          <w:tcPr>
            <w:tcW w:w="407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Arial" w:asciiTheme="minorEastAsia" w:hAnsiTheme="minorEastAsia"/>
                <w:sz w:val="24"/>
                <w:szCs w:val="24"/>
              </w:rPr>
              <w:t>兼容有创/无创通气功能</w:t>
            </w:r>
          </w:p>
        </w:tc>
        <w:tc>
          <w:tcPr>
            <w:tcW w:w="998"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cs="Arial" w:asciiTheme="minorEastAsia" w:hAnsiTheme="minorEastAsia"/>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747"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3</w:t>
            </w:r>
          </w:p>
        </w:tc>
        <w:tc>
          <w:tcPr>
            <w:tcW w:w="407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Arial" w:asciiTheme="minorEastAsia" w:hAnsiTheme="minorEastAsia"/>
                <w:sz w:val="24"/>
                <w:szCs w:val="24"/>
              </w:rPr>
              <w:t>内置转运电池（采用内置方式，非外挂），保证正常工作2小时以上</w:t>
            </w:r>
          </w:p>
        </w:tc>
        <w:tc>
          <w:tcPr>
            <w:tcW w:w="998"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cs="Arial" w:asciiTheme="minorEastAsia" w:hAnsiTheme="minorEastAsia"/>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747"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4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4</w:t>
            </w:r>
          </w:p>
        </w:tc>
        <w:tc>
          <w:tcPr>
            <w:tcW w:w="407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Arial" w:asciiTheme="minorEastAsia" w:hAnsiTheme="minorEastAsia"/>
                <w:sz w:val="24"/>
                <w:szCs w:val="24"/>
              </w:rPr>
              <w:t xml:space="preserve">通气模式:  </w:t>
            </w:r>
            <w:r>
              <w:rPr>
                <w:rFonts w:cs="Arial" w:asciiTheme="minorEastAsia" w:hAnsiTheme="minorEastAsia"/>
                <w:sz w:val="24"/>
                <w:szCs w:val="24"/>
              </w:rPr>
              <w:t>CPAP、S、S/T</w:t>
            </w:r>
            <w:r>
              <w:rPr>
                <w:rFonts w:hint="eastAsia" w:cs="Arial" w:asciiTheme="minorEastAsia" w:hAnsiTheme="minorEastAsia"/>
                <w:sz w:val="24"/>
                <w:szCs w:val="24"/>
              </w:rPr>
              <w:t>、</w:t>
            </w:r>
            <w:r>
              <w:rPr>
                <w:rFonts w:cs="Arial" w:asciiTheme="minorEastAsia" w:hAnsiTheme="minorEastAsia"/>
                <w:sz w:val="24"/>
                <w:szCs w:val="24"/>
              </w:rPr>
              <w:t>T</w:t>
            </w:r>
            <w:r>
              <w:rPr>
                <w:rFonts w:hint="eastAsia" w:cs="Arial" w:asciiTheme="minorEastAsia" w:hAnsiTheme="minorEastAsia"/>
                <w:sz w:val="24"/>
                <w:szCs w:val="24"/>
              </w:rPr>
              <w:t>、PAC、i</w:t>
            </w:r>
            <w:r>
              <w:rPr>
                <w:rFonts w:cs="Arial" w:asciiTheme="minorEastAsia" w:hAnsiTheme="minorEastAsia"/>
                <w:sz w:val="24"/>
                <w:szCs w:val="24"/>
              </w:rPr>
              <w:t>VAPS</w:t>
            </w:r>
            <w:r>
              <w:rPr>
                <w:rFonts w:hint="eastAsia" w:cs="Arial" w:asciiTheme="minorEastAsia" w:hAnsiTheme="minorEastAsia"/>
                <w:sz w:val="24"/>
                <w:szCs w:val="24"/>
              </w:rPr>
              <w:t>（</w:t>
            </w:r>
            <w:r>
              <w:rPr>
                <w:rFonts w:hint="eastAsia" w:cs="Arial" w:asciiTheme="majorEastAsia" w:hAnsiTheme="majorEastAsia" w:eastAsiaTheme="majorEastAsia"/>
                <w:color w:val="333333"/>
                <w:kern w:val="0"/>
                <w:sz w:val="24"/>
                <w:szCs w:val="24"/>
              </w:rPr>
              <w:t>配有iVAPS 智能巡航通气模块，根据肺泡通气量自动调节通气参数，满足患者通气需求）</w:t>
            </w:r>
          </w:p>
        </w:tc>
        <w:tc>
          <w:tcPr>
            <w:tcW w:w="998"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cs="Arial" w:asciiTheme="minorEastAsia" w:hAnsiTheme="minorEastAsia"/>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747"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5</w:t>
            </w:r>
          </w:p>
        </w:tc>
        <w:tc>
          <w:tcPr>
            <w:tcW w:w="407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Arial" w:asciiTheme="minorEastAsia" w:hAnsiTheme="minorEastAsia"/>
                <w:sz w:val="24"/>
                <w:szCs w:val="24"/>
              </w:rPr>
              <w:t xml:space="preserve">压力范围: IPAP 2-40 cm H2O，EPAP 2-25 cm H20，PS 0-38 cmH2O，CPAP 4-20 cm H2O </w:t>
            </w:r>
          </w:p>
        </w:tc>
        <w:tc>
          <w:tcPr>
            <w:tcW w:w="998"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cs="Arial" w:asciiTheme="minorEastAsia" w:hAnsiTheme="minorEastAsia"/>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747"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6</w:t>
            </w:r>
          </w:p>
        </w:tc>
        <w:tc>
          <w:tcPr>
            <w:tcW w:w="407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Arial" w:asciiTheme="minorEastAsia" w:hAnsiTheme="minorEastAsia"/>
                <w:sz w:val="24"/>
                <w:szCs w:val="24"/>
              </w:rPr>
              <w:t>呼吸频率:  最高达到6</w:t>
            </w:r>
            <w:r>
              <w:rPr>
                <w:rFonts w:cs="Arial" w:asciiTheme="minorEastAsia" w:hAnsiTheme="minorEastAsia"/>
                <w:sz w:val="24"/>
                <w:szCs w:val="24"/>
              </w:rPr>
              <w:t xml:space="preserve">0 </w:t>
            </w:r>
            <w:r>
              <w:rPr>
                <w:rFonts w:hint="eastAsia" w:cs="Arial" w:asciiTheme="minorEastAsia" w:hAnsiTheme="minorEastAsia"/>
                <w:sz w:val="24"/>
                <w:szCs w:val="24"/>
              </w:rPr>
              <w:t>次/分</w:t>
            </w:r>
          </w:p>
        </w:tc>
        <w:tc>
          <w:tcPr>
            <w:tcW w:w="998"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cs="Arial" w:asciiTheme="minorEastAsia" w:hAnsiTheme="minorEastAsia"/>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747"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7</w:t>
            </w:r>
          </w:p>
        </w:tc>
        <w:tc>
          <w:tcPr>
            <w:tcW w:w="407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Arial" w:asciiTheme="minorEastAsia" w:hAnsiTheme="minorEastAsia"/>
                <w:sz w:val="24"/>
                <w:szCs w:val="24"/>
              </w:rPr>
              <w:t>氧气接入方式为机器后端输入，输入氧流量高达30L/min</w:t>
            </w:r>
          </w:p>
        </w:tc>
        <w:tc>
          <w:tcPr>
            <w:tcW w:w="998"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cs="Arial" w:asciiTheme="minorEastAsia" w:hAnsiTheme="minorEastAsia"/>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747"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8</w:t>
            </w:r>
          </w:p>
        </w:tc>
        <w:tc>
          <w:tcPr>
            <w:tcW w:w="407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cs="Arial" w:asciiTheme="minorEastAsia" w:hAnsiTheme="minorEastAsia"/>
                <w:sz w:val="24"/>
                <w:szCs w:val="24"/>
              </w:rPr>
              <w:t>吸气时间窗控制：Ti Max：0.3-4.0 sec；Ti Min： 0.1-TiMax sec</w:t>
            </w:r>
          </w:p>
        </w:tc>
        <w:tc>
          <w:tcPr>
            <w:tcW w:w="998" w:type="dxa"/>
            <w:tcBorders>
              <w:top w:val="single" w:color="auto" w:sz="4" w:space="0"/>
              <w:left w:val="single" w:color="auto" w:sz="4" w:space="0"/>
              <w:bottom w:val="single" w:color="auto" w:sz="4" w:space="0"/>
              <w:right w:val="single" w:color="auto" w:sz="4" w:space="0"/>
            </w:tcBorders>
            <w:vAlign w:val="center"/>
          </w:tcPr>
          <w:p>
            <w:pPr>
              <w:jc w:val="left"/>
              <w:rPr>
                <w:rFonts w:hint="eastAsia" w:cs="Arial" w:asciiTheme="minorEastAsia" w:hAnsiTheme="minorEastAsia"/>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747"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9</w:t>
            </w:r>
          </w:p>
        </w:tc>
        <w:tc>
          <w:tcPr>
            <w:tcW w:w="4072"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sz w:val="24"/>
                <w:szCs w:val="24"/>
              </w:rPr>
            </w:pPr>
            <w:r>
              <w:rPr>
                <w:rFonts w:hint="eastAsia" w:cs="Arial" w:asciiTheme="minorEastAsia" w:hAnsiTheme="minorEastAsia"/>
                <w:sz w:val="24"/>
                <w:szCs w:val="24"/>
              </w:rPr>
              <w:t>吸气上升时间:150-900 ms（50ms一增量），吸气下降时间：100-400ms</w:t>
            </w:r>
          </w:p>
        </w:tc>
        <w:tc>
          <w:tcPr>
            <w:tcW w:w="998" w:type="dxa"/>
            <w:tcBorders>
              <w:top w:val="single" w:color="auto" w:sz="4" w:space="0"/>
              <w:left w:val="single" w:color="auto" w:sz="4" w:space="0"/>
              <w:bottom w:val="single" w:color="auto" w:sz="4" w:space="0"/>
              <w:right w:val="single" w:color="auto" w:sz="4" w:space="0"/>
            </w:tcBorders>
            <w:vAlign w:val="center"/>
          </w:tcPr>
          <w:p>
            <w:pPr>
              <w:jc w:val="left"/>
              <w:rPr>
                <w:rFonts w:hint="eastAsia" w:cs="Arial" w:asciiTheme="minorEastAsia" w:hAnsiTheme="minorEastAsia"/>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747"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10</w:t>
            </w:r>
          </w:p>
        </w:tc>
        <w:tc>
          <w:tcPr>
            <w:tcW w:w="407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Arial" w:asciiTheme="minorEastAsia" w:hAnsiTheme="minorEastAsia"/>
                <w:sz w:val="24"/>
                <w:szCs w:val="24"/>
              </w:rPr>
              <w:t>吸气/呼气灵敏度调节5档可调</w:t>
            </w:r>
            <w:r>
              <w:rPr>
                <w:rFonts w:cs="Arial" w:asciiTheme="minorEastAsia" w:hAnsiTheme="minorEastAsia"/>
                <w:sz w:val="24"/>
                <w:szCs w:val="24"/>
              </w:rPr>
              <w:t xml:space="preserve"> </w:t>
            </w:r>
          </w:p>
        </w:tc>
        <w:tc>
          <w:tcPr>
            <w:tcW w:w="998"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cs="Arial" w:asciiTheme="minorEastAsia" w:hAnsiTheme="minorEastAsia"/>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747"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11</w:t>
            </w:r>
          </w:p>
        </w:tc>
        <w:tc>
          <w:tcPr>
            <w:tcW w:w="407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cs="Arial" w:asciiTheme="minorEastAsia" w:hAnsiTheme="minorEastAsia"/>
                <w:kern w:val="0"/>
                <w:sz w:val="24"/>
                <w:szCs w:val="24"/>
              </w:rPr>
              <w:t>通气流速可达200L/min以上</w:t>
            </w:r>
          </w:p>
        </w:tc>
        <w:tc>
          <w:tcPr>
            <w:tcW w:w="9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kern w:val="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747"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trPr>
        <w:tc>
          <w:tcPr>
            <w:tcW w:w="4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12</w:t>
            </w:r>
          </w:p>
        </w:tc>
        <w:tc>
          <w:tcPr>
            <w:tcW w:w="407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szCs w:val="24"/>
              </w:rPr>
            </w:pPr>
            <w:r>
              <w:rPr>
                <w:rFonts w:hint="eastAsia" w:cs="Arial" w:asciiTheme="minorEastAsia" w:hAnsiTheme="minorEastAsia"/>
                <w:sz w:val="24"/>
                <w:szCs w:val="24"/>
              </w:rPr>
              <w:t>屏幕监测：模式和压力设定、实时漏气量监测（L/min）、实时呼吸频率监测、潮气量监测、肺泡通气量监测、吸气时间、吸呼时间比I:E、实时压力监测条图显示、PS值、自主触发和切换指示及百分比、压力-时间波形，流速-时间波形，最近5分钟MV和呼吸频率波形趋势，最近5分钟MV及肺泡通气量波形趋势，平均瞬时漏气、潮气量波形趋势、呼吸同步波形显示、电池电量等。</w:t>
            </w:r>
          </w:p>
        </w:tc>
        <w:tc>
          <w:tcPr>
            <w:tcW w:w="998" w:type="dxa"/>
            <w:tcBorders>
              <w:top w:val="single" w:color="auto" w:sz="4" w:space="0"/>
              <w:left w:val="single" w:color="auto" w:sz="4" w:space="0"/>
              <w:bottom w:val="single" w:color="auto" w:sz="4" w:space="0"/>
              <w:right w:val="single" w:color="auto" w:sz="4" w:space="0"/>
            </w:tcBorders>
            <w:vAlign w:val="center"/>
          </w:tcPr>
          <w:p>
            <w:pPr>
              <w:jc w:val="left"/>
              <w:rPr>
                <w:rFonts w:hint="eastAsia" w:cs="Arial" w:asciiTheme="minorEastAsia" w:hAnsiTheme="minorEastAsia"/>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747"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4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13</w:t>
            </w:r>
          </w:p>
        </w:tc>
        <w:tc>
          <w:tcPr>
            <w:tcW w:w="407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Arial" w:asciiTheme="minorEastAsia" w:hAnsiTheme="minorEastAsia"/>
                <w:sz w:val="24"/>
                <w:szCs w:val="24"/>
              </w:rPr>
              <w:t>报警设置：分钟通气量过低、大量漏气、无排气孔面罩（面罩连接错误）、高压/低压报警、呼吸频率过高/过低、氧饱和度过低报警、氧浓度过高/过低报警、窒息报警、电池电量低报警、报警音量（高中低）</w:t>
            </w:r>
          </w:p>
        </w:tc>
        <w:tc>
          <w:tcPr>
            <w:tcW w:w="998"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cs="Arial" w:asciiTheme="minorEastAsia" w:hAnsiTheme="minorEastAsia"/>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747"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4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14</w:t>
            </w:r>
          </w:p>
        </w:tc>
        <w:tc>
          <w:tcPr>
            <w:tcW w:w="407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cs="Arial" w:asciiTheme="minorEastAsia" w:hAnsiTheme="minorEastAsia"/>
                <w:sz w:val="24"/>
                <w:szCs w:val="24"/>
              </w:rPr>
              <w:t>面罩类型矫正技术，</w:t>
            </w:r>
            <w:r>
              <w:rPr>
                <w:rFonts w:cs="Arial" w:asciiTheme="minorEastAsia" w:hAnsiTheme="minorEastAsia"/>
                <w:kern w:val="0"/>
                <w:sz w:val="24"/>
                <w:szCs w:val="24"/>
              </w:rPr>
              <w:t>了解面罩的佩戴情况，根据存储的数据自动进行相关补偿</w:t>
            </w:r>
            <w:r>
              <w:rPr>
                <w:rFonts w:hint="eastAsia" w:cs="Arial" w:asciiTheme="minorEastAsia" w:hAnsiTheme="minorEastAsia"/>
                <w:kern w:val="0"/>
                <w:sz w:val="24"/>
                <w:szCs w:val="24"/>
              </w:rPr>
              <w:t>，达到最佳人机同步性</w:t>
            </w:r>
          </w:p>
        </w:tc>
        <w:tc>
          <w:tcPr>
            <w:tcW w:w="998" w:type="dxa"/>
            <w:tcBorders>
              <w:top w:val="single" w:color="auto" w:sz="4" w:space="0"/>
              <w:left w:val="single" w:color="auto" w:sz="4" w:space="0"/>
              <w:bottom w:val="single" w:color="auto" w:sz="4" w:space="0"/>
              <w:right w:val="single" w:color="auto" w:sz="4" w:space="0"/>
            </w:tcBorders>
            <w:vAlign w:val="center"/>
          </w:tcPr>
          <w:p>
            <w:pPr>
              <w:jc w:val="left"/>
              <w:rPr>
                <w:rFonts w:hint="eastAsia" w:cs="Arial" w:asciiTheme="minorEastAsia" w:hAnsiTheme="minorEastAsia"/>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747"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4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15</w:t>
            </w:r>
          </w:p>
        </w:tc>
        <w:tc>
          <w:tcPr>
            <w:tcW w:w="407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cs="Arial" w:asciiTheme="minorEastAsia" w:hAnsiTheme="minorEastAsia"/>
                <w:kern w:val="0"/>
                <w:sz w:val="24"/>
                <w:szCs w:val="24"/>
              </w:rPr>
              <w:t>具有液晶彩屏，全中文操作。</w:t>
            </w:r>
            <w:r>
              <w:rPr>
                <w:rFonts w:cs="Arial" w:asciiTheme="minorEastAsia" w:hAnsiTheme="minorEastAsia"/>
                <w:kern w:val="0"/>
                <w:sz w:val="24"/>
                <w:szCs w:val="24"/>
              </w:rPr>
              <w:t>操作方便</w:t>
            </w:r>
            <w:r>
              <w:rPr>
                <w:rFonts w:hint="eastAsia" w:cs="Arial" w:asciiTheme="minorEastAsia" w:hAnsiTheme="minorEastAsia"/>
                <w:kern w:val="0"/>
                <w:sz w:val="24"/>
                <w:szCs w:val="24"/>
              </w:rPr>
              <w:t>，</w:t>
            </w:r>
            <w:r>
              <w:rPr>
                <w:rFonts w:cs="Arial" w:asciiTheme="minorEastAsia" w:hAnsiTheme="minorEastAsia"/>
                <w:kern w:val="0"/>
                <w:sz w:val="24"/>
                <w:szCs w:val="24"/>
              </w:rPr>
              <w:t>同屏显示设置参数、监测参数和报警信息。可直观显示患者的治疗情况</w:t>
            </w:r>
            <w:r>
              <w:rPr>
                <w:rFonts w:hint="eastAsia" w:cs="Arial" w:asciiTheme="minorEastAsia" w:hAnsiTheme="minorEastAsia"/>
                <w:kern w:val="0"/>
                <w:sz w:val="24"/>
                <w:szCs w:val="24"/>
              </w:rPr>
              <w:t>。</w:t>
            </w:r>
          </w:p>
        </w:tc>
        <w:tc>
          <w:tcPr>
            <w:tcW w:w="998" w:type="dxa"/>
            <w:tcBorders>
              <w:top w:val="single" w:color="auto" w:sz="4" w:space="0"/>
              <w:left w:val="single" w:color="auto" w:sz="4" w:space="0"/>
              <w:bottom w:val="single" w:color="auto" w:sz="4" w:space="0"/>
              <w:right w:val="single" w:color="auto" w:sz="4" w:space="0"/>
            </w:tcBorders>
            <w:vAlign w:val="center"/>
          </w:tcPr>
          <w:p>
            <w:pPr>
              <w:jc w:val="left"/>
              <w:rPr>
                <w:rFonts w:hint="eastAsia" w:cs="Arial" w:asciiTheme="minorEastAsia" w:hAnsiTheme="minorEastAsia"/>
                <w:kern w:val="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747"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4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16</w:t>
            </w:r>
          </w:p>
        </w:tc>
        <w:tc>
          <w:tcPr>
            <w:tcW w:w="407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cs="Arial" w:asciiTheme="minorEastAsia" w:hAnsiTheme="minorEastAsia"/>
                <w:kern w:val="0"/>
                <w:sz w:val="24"/>
                <w:szCs w:val="24"/>
              </w:rPr>
              <w:t>疾病类型设置功能，机器内具有不同疾病的不同模式参数默认值，方便快速启用呼吸机</w:t>
            </w:r>
            <w:r>
              <w:rPr>
                <w:rFonts w:hint="eastAsia" w:cs="Arial" w:asciiTheme="minorEastAsia" w:hAnsiTheme="minorEastAsia"/>
                <w:kern w:val="0"/>
                <w:sz w:val="24"/>
                <w:szCs w:val="24"/>
              </w:rPr>
              <w:t>。</w:t>
            </w:r>
            <w:r>
              <w:rPr>
                <w:rFonts w:cs="Arial" w:asciiTheme="minorEastAsia" w:hAnsiTheme="minorEastAsia"/>
                <w:kern w:val="0"/>
                <w:sz w:val="24"/>
                <w:szCs w:val="24"/>
              </w:rPr>
              <w:t>具有2个预设程序，适合不同病人、不同情况下的使用</w:t>
            </w:r>
          </w:p>
        </w:tc>
        <w:tc>
          <w:tcPr>
            <w:tcW w:w="9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kern w:val="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747"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4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17</w:t>
            </w:r>
          </w:p>
        </w:tc>
        <w:tc>
          <w:tcPr>
            <w:tcW w:w="407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cs="Arial" w:asciiTheme="minorEastAsia" w:hAnsiTheme="minorEastAsia"/>
                <w:kern w:val="0"/>
                <w:sz w:val="24"/>
                <w:szCs w:val="24"/>
              </w:rPr>
              <w:t>可</w:t>
            </w:r>
            <w:r>
              <w:rPr>
                <w:rFonts w:cs="Arial" w:asciiTheme="minorEastAsia" w:hAnsiTheme="minorEastAsia"/>
                <w:kern w:val="0"/>
                <w:sz w:val="24"/>
                <w:szCs w:val="24"/>
              </w:rPr>
              <w:t>记录365天的使用和综合数据，7天详细数据，8小时高分辨率流量数据，包括压力、流速、潮气量、AHI等，为临床使用提供更多的讯息</w:t>
            </w:r>
          </w:p>
        </w:tc>
        <w:tc>
          <w:tcPr>
            <w:tcW w:w="998" w:type="dxa"/>
            <w:tcBorders>
              <w:top w:val="single" w:color="auto" w:sz="4" w:space="0"/>
              <w:left w:val="single" w:color="auto" w:sz="4" w:space="0"/>
              <w:bottom w:val="single" w:color="auto" w:sz="4" w:space="0"/>
              <w:right w:val="single" w:color="auto" w:sz="4" w:space="0"/>
            </w:tcBorders>
            <w:vAlign w:val="center"/>
          </w:tcPr>
          <w:p>
            <w:pPr>
              <w:jc w:val="left"/>
              <w:rPr>
                <w:rFonts w:hint="eastAsia" w:cs="Arial" w:asciiTheme="minorEastAsia" w:hAnsiTheme="minorEastAsia"/>
                <w:kern w:val="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747"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18</w:t>
            </w:r>
          </w:p>
        </w:tc>
        <w:tc>
          <w:tcPr>
            <w:tcW w:w="4072"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cs="Arial" w:asciiTheme="minorEastAsia" w:hAnsiTheme="minorEastAsia"/>
                <w:sz w:val="24"/>
                <w:szCs w:val="24"/>
              </w:rPr>
              <w:t>标配分体式恒温加湿器，一体化台车,方便院内移动</w:t>
            </w:r>
          </w:p>
        </w:tc>
        <w:tc>
          <w:tcPr>
            <w:tcW w:w="998"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cs="Arial" w:asciiTheme="minorEastAsia" w:hAnsiTheme="minorEastAsia"/>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747"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19</w:t>
            </w:r>
          </w:p>
        </w:tc>
        <w:tc>
          <w:tcPr>
            <w:tcW w:w="407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sz w:val="24"/>
                <w:szCs w:val="24"/>
              </w:rPr>
              <w:t>质保要求：整机免费</w:t>
            </w:r>
            <w:bookmarkStart w:id="0" w:name="_GoBack"/>
            <w:bookmarkEnd w:id="0"/>
            <w:r>
              <w:rPr>
                <w:rFonts w:hint="eastAsia" w:ascii="宋体" w:hAnsi="宋体"/>
                <w:sz w:val="24"/>
                <w:szCs w:val="24"/>
              </w:rPr>
              <w:t>保修叁年（含所有零部件，包括须定期更换零部件）。</w:t>
            </w:r>
          </w:p>
        </w:tc>
        <w:tc>
          <w:tcPr>
            <w:tcW w:w="99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747"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4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20</w:t>
            </w:r>
          </w:p>
        </w:tc>
        <w:tc>
          <w:tcPr>
            <w:tcW w:w="407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99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747"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bl>
    <w:p>
      <w:pPr>
        <w:jc w:val="both"/>
        <w:rPr>
          <w:sz w:val="18"/>
          <w:szCs w:val="18"/>
        </w:rPr>
      </w:pPr>
    </w:p>
    <w:p>
      <w:pPr>
        <w:spacing w:line="320" w:lineRule="exact"/>
        <w:ind w:firstLine="211" w:firstLineChars="100"/>
        <w:rPr>
          <w:rFonts w:hint="eastAsia" w:ascii="仿宋" w:hAnsi="仿宋" w:eastAsia="仿宋"/>
          <w:b/>
          <w:szCs w:val="21"/>
          <w:lang w:eastAsia="zh-CN"/>
        </w:rPr>
      </w:pPr>
    </w:p>
    <w:p>
      <w:pPr>
        <w:spacing w:line="320" w:lineRule="exact"/>
        <w:ind w:firstLine="211" w:firstLineChars="100"/>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7"/>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pStyle w:val="5"/>
        <w:ind w:left="0" w:leftChars="0" w:firstLine="0" w:firstLineChars="0"/>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6"/>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6"/>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6"/>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6"/>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360" w:lineRule="exact"/>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wNDdhMmUyNDk5NDI4Yjc0ODAxYWJmNjcwZWM0MTQifQ=="/>
  </w:docVars>
  <w:rsids>
    <w:rsidRoot w:val="00476ACA"/>
    <w:rsid w:val="00326D32"/>
    <w:rsid w:val="003A451B"/>
    <w:rsid w:val="003D289B"/>
    <w:rsid w:val="00476ACA"/>
    <w:rsid w:val="004F49A5"/>
    <w:rsid w:val="00A821E4"/>
    <w:rsid w:val="00F83671"/>
    <w:rsid w:val="00FC5DE7"/>
    <w:rsid w:val="200977DB"/>
    <w:rsid w:val="307C03A9"/>
    <w:rsid w:val="33B6572D"/>
    <w:rsid w:val="34D104B1"/>
    <w:rsid w:val="4B7210F3"/>
    <w:rsid w:val="5A650DEE"/>
    <w:rsid w:val="69012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Body Text First Indent"/>
    <w:basedOn w:val="2"/>
    <w:unhideWhenUsed/>
    <w:qFormat/>
    <w:uiPriority w:val="99"/>
    <w:pPr>
      <w:ind w:firstLine="420" w:firstLineChars="100"/>
    </w:pPr>
    <w:rPr>
      <w:rFonts w:ascii="Times New Roman" w:hAnsi="Times New Roman"/>
      <w:kern w:val="0"/>
      <w:sz w:val="20"/>
      <w:szCs w:val="20"/>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16D38-FB4D-4F39-AE6E-4ECC661FAE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1674</Words>
  <Characters>1719</Characters>
  <Lines>6</Lines>
  <Paragraphs>1</Paragraphs>
  <TotalTime>2</TotalTime>
  <ScaleCrop>false</ScaleCrop>
  <LinksUpToDate>false</LinksUpToDate>
  <CharactersWithSpaces>1866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2021-08-30T07:56:00Z</dcterms:created>
  <dc:creator>Administrator</dc:creator>
  <cp:lastModifiedBy>─+.Yu℡</cp:lastModifiedBy>
  <dcterms:modified xsi:type="dcterms:W3CDTF">2022-10-04T13:37:14Z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3A85B5DE53A343AD927E7B0BD526D631</vt:lpwstr>
  </property>
</Properties>
</file>