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28E609">
      <w:pPr>
        <w:spacing w:line="320" w:lineRule="exact"/>
        <w:rPr>
          <w:rFonts w:hint="default" w:ascii="仿宋" w:hAnsi="仿宋" w:eastAsiaTheme="majorEastAsia"/>
          <w:sz w:val="32"/>
          <w:szCs w:val="32"/>
          <w:lang w:val="en-US" w:eastAsia="zh-CN"/>
        </w:rPr>
      </w:pPr>
      <w:r>
        <w:rPr>
          <w:rFonts w:hint="eastAsia" w:ascii="仿宋_GB2312" w:hAnsi="仿宋_GB2312" w:eastAsia="仿宋_GB2312" w:cs="仿宋_GB2312"/>
          <w:sz w:val="28"/>
          <w:szCs w:val="28"/>
          <w:lang w:val="en-US" w:eastAsia="zh-CN"/>
        </w:rPr>
        <w:t xml:space="preserve">   </w:t>
      </w:r>
      <w:r>
        <w:rPr>
          <w:rFonts w:hint="eastAsia" w:asciiTheme="majorEastAsia" w:hAnsiTheme="majorEastAsia" w:eastAsiaTheme="majorEastAsia"/>
          <w:b/>
          <w:sz w:val="32"/>
          <w:szCs w:val="32"/>
        </w:rPr>
        <w:t>附件</w:t>
      </w:r>
      <w:r>
        <w:rPr>
          <w:rFonts w:hint="eastAsia" w:asciiTheme="majorEastAsia" w:hAnsiTheme="majorEastAsia" w:eastAsiaTheme="majorEastAsia"/>
          <w:b/>
          <w:sz w:val="32"/>
          <w:szCs w:val="32"/>
          <w:lang w:val="en-US" w:eastAsia="zh-CN"/>
        </w:rPr>
        <w:t>1</w:t>
      </w:r>
      <w:r>
        <w:rPr>
          <w:rFonts w:hint="eastAsia" w:asciiTheme="majorEastAsia" w:hAnsiTheme="majorEastAsia" w:eastAsiaTheme="majorEastAsia"/>
          <w:b/>
          <w:sz w:val="32"/>
          <w:szCs w:val="32"/>
        </w:rPr>
        <w:t>：</w:t>
      </w:r>
      <w:r>
        <w:rPr>
          <w:rFonts w:hint="eastAsia" w:asciiTheme="majorEastAsia" w:hAnsiTheme="majorEastAsia" w:eastAsiaTheme="majorEastAsia"/>
          <w:b/>
          <w:sz w:val="32"/>
          <w:szCs w:val="32"/>
          <w:u w:val="single"/>
          <w:lang w:val="en-US" w:eastAsia="zh-CN"/>
        </w:rPr>
        <w:t>霍邱县第六人民医院(六安市中医院马店院区)食堂外包服务采购项目</w:t>
      </w:r>
      <w:r>
        <w:rPr>
          <w:rFonts w:hint="eastAsia" w:asciiTheme="majorEastAsia" w:hAnsiTheme="majorEastAsia" w:eastAsiaTheme="majorEastAsia"/>
          <w:b/>
          <w:sz w:val="32"/>
          <w:szCs w:val="32"/>
        </w:rPr>
        <w:t>初步参数论证征集意见表</w:t>
      </w:r>
      <w:r>
        <w:rPr>
          <w:rFonts w:hint="eastAsia" w:asciiTheme="majorEastAsia" w:hAnsiTheme="majorEastAsia" w:eastAsiaTheme="majorEastAsia"/>
          <w:b/>
          <w:sz w:val="32"/>
          <w:szCs w:val="32"/>
          <w:lang w:val="en-US" w:eastAsia="zh-CN"/>
        </w:rPr>
        <w:t xml:space="preserve">  </w:t>
      </w:r>
    </w:p>
    <w:p w14:paraId="60F3B240">
      <w:pPr>
        <w:spacing w:line="320" w:lineRule="exact"/>
        <w:rPr>
          <w:rFonts w:ascii="仿宋" w:hAnsi="仿宋" w:eastAsia="仿宋"/>
          <w:sz w:val="24"/>
          <w:szCs w:val="24"/>
        </w:rPr>
      </w:pPr>
    </w:p>
    <w:p w14:paraId="4B149BC4">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sz w:val="24"/>
          <w:szCs w:val="24"/>
          <w:u w:val="single"/>
        </w:rPr>
      </w:pPr>
      <w:r>
        <w:rPr>
          <w:rFonts w:hint="eastAsia" w:ascii="仿宋" w:hAnsi="仿宋" w:eastAsia="仿宋"/>
          <w:sz w:val="24"/>
          <w:szCs w:val="24"/>
        </w:rPr>
        <w:t>供应商、联系人及电话（加盖公章）：</w:t>
      </w:r>
      <w:r>
        <w:rPr>
          <w:rFonts w:hint="eastAsia" w:ascii="仿宋" w:hAnsi="仿宋" w:eastAsia="仿宋"/>
          <w:sz w:val="24"/>
          <w:szCs w:val="24"/>
          <w:u w:val="single"/>
        </w:rPr>
        <w:t xml:space="preserve">                                      </w:t>
      </w:r>
    </w:p>
    <w:p w14:paraId="586C07EE">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sz w:val="24"/>
          <w:szCs w:val="24"/>
          <w:u w:val="single"/>
        </w:rPr>
      </w:pPr>
      <w:r>
        <w:rPr>
          <w:rFonts w:hint="eastAsia" w:ascii="仿宋" w:hAnsi="仿宋" w:eastAsia="仿宋"/>
          <w:sz w:val="24"/>
          <w:szCs w:val="24"/>
          <w:u w:val="single"/>
        </w:rPr>
        <w:t xml:space="preserve">               </w:t>
      </w:r>
    </w:p>
    <w:p w14:paraId="2ED00DB5">
      <w:pPr>
        <w:keepNext w:val="0"/>
        <w:keepLines w:val="0"/>
        <w:pageBreakBefore w:val="0"/>
        <w:widowControl w:val="0"/>
        <w:kinsoku/>
        <w:wordWrap/>
        <w:overflowPunct/>
        <w:topLinePunct w:val="0"/>
        <w:autoSpaceDE/>
        <w:autoSpaceDN/>
        <w:bidi w:val="0"/>
        <w:adjustRightInd/>
        <w:snapToGrid/>
        <w:spacing w:line="300" w:lineRule="exact"/>
        <w:ind w:firstLine="482" w:firstLineChars="200"/>
        <w:textAlignment w:val="auto"/>
        <w:rPr>
          <w:rFonts w:hint="eastAsia" w:ascii="仿宋" w:hAnsi="仿宋" w:eastAsia="仿宋"/>
          <w:b w:val="0"/>
          <w:bCs/>
          <w:color w:val="FF0000"/>
          <w:sz w:val="24"/>
          <w:szCs w:val="24"/>
        </w:rPr>
      </w:pPr>
      <w:r>
        <w:rPr>
          <w:rFonts w:hint="eastAsia" w:ascii="仿宋" w:hAnsi="仿宋" w:eastAsia="仿宋"/>
          <w:b/>
          <w:sz w:val="24"/>
          <w:szCs w:val="24"/>
        </w:rPr>
        <w:t>备注：</w:t>
      </w:r>
    </w:p>
    <w:p w14:paraId="6F4321A8">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textAlignment w:val="auto"/>
        <w:rPr>
          <w:rFonts w:hint="eastAsia" w:ascii="仿宋" w:hAnsi="仿宋" w:eastAsia="仿宋"/>
          <w:sz w:val="24"/>
          <w:szCs w:val="24"/>
          <w:u w:val="single"/>
        </w:rPr>
      </w:pPr>
      <w:r>
        <w:rPr>
          <w:rFonts w:hint="eastAsia" w:ascii="仿宋" w:hAnsi="仿宋" w:eastAsia="仿宋"/>
          <w:b w:val="0"/>
          <w:bCs/>
          <w:color w:val="FF0000"/>
          <w:sz w:val="24"/>
          <w:szCs w:val="24"/>
        </w:rPr>
        <w:t>按要求格式填写并</w:t>
      </w:r>
      <w:r>
        <w:rPr>
          <w:rFonts w:hint="eastAsia" w:ascii="仿宋" w:hAnsi="仿宋" w:eastAsia="仿宋"/>
          <w:b/>
          <w:bCs w:val="0"/>
          <w:color w:val="FF0000"/>
          <w:sz w:val="24"/>
          <w:szCs w:val="24"/>
        </w:rPr>
        <w:t>每页加盖</w:t>
      </w:r>
      <w:r>
        <w:rPr>
          <w:rFonts w:hint="eastAsia" w:ascii="仿宋" w:hAnsi="仿宋" w:eastAsia="仿宋"/>
          <w:b w:val="0"/>
          <w:bCs/>
          <w:color w:val="FF0000"/>
          <w:sz w:val="24"/>
          <w:szCs w:val="24"/>
        </w:rPr>
        <w:t>报名供应商公章【电子章无效】，</w:t>
      </w:r>
      <w:r>
        <w:rPr>
          <w:rFonts w:hint="eastAsia" w:ascii="仿宋" w:hAnsi="仿宋" w:eastAsia="仿宋"/>
          <w:sz w:val="24"/>
          <w:szCs w:val="24"/>
        </w:rPr>
        <w:t>在规定时间内以</w:t>
      </w:r>
      <w:r>
        <w:rPr>
          <w:rFonts w:hint="eastAsia" w:ascii="仿宋" w:hAnsi="仿宋" w:eastAsia="仿宋"/>
          <w:b/>
          <w:sz w:val="24"/>
          <w:szCs w:val="24"/>
        </w:rPr>
        <w:t>原件扫描件和电子版形式</w:t>
      </w:r>
      <w:r>
        <w:rPr>
          <w:rFonts w:hint="eastAsia" w:ascii="仿宋" w:hAnsi="仿宋" w:eastAsia="仿宋"/>
          <w:sz w:val="24"/>
          <w:szCs w:val="24"/>
        </w:rPr>
        <w:t>发送至医院指定邮箱（</w:t>
      </w:r>
      <w:r>
        <w:rPr>
          <w:rFonts w:hint="eastAsia" w:ascii="仿宋" w:hAnsi="仿宋" w:eastAsia="仿宋"/>
          <w:sz w:val="24"/>
          <w:szCs w:val="24"/>
          <w:u w:val="single"/>
          <w:lang w:eastAsia="zh-CN"/>
        </w:rPr>
        <w:t>物流管理部</w:t>
      </w:r>
      <w:r>
        <w:rPr>
          <w:rFonts w:hint="eastAsia" w:ascii="仿宋" w:hAnsi="仿宋" w:eastAsia="仿宋"/>
          <w:sz w:val="24"/>
          <w:szCs w:val="24"/>
        </w:rPr>
        <w:t>□设备科□、信息科□、</w:t>
      </w:r>
      <w:r>
        <w:rPr>
          <w:rFonts w:hint="eastAsia" w:ascii="仿宋" w:hAnsi="仿宋" w:eastAsia="仿宋"/>
          <w:sz w:val="24"/>
          <w:szCs w:val="24"/>
          <w:lang w:eastAsia="zh-CN"/>
        </w:rPr>
        <w:t>后勤保障部□</w:t>
      </w:r>
      <w:r>
        <w:rPr>
          <w:rFonts w:hint="eastAsia" w:ascii="仿宋" w:hAnsi="仿宋" w:eastAsia="仿宋"/>
          <w:sz w:val="24"/>
          <w:szCs w:val="24"/>
        </w:rPr>
        <w:t>及</w:t>
      </w:r>
      <w:r>
        <w:rPr>
          <w:rFonts w:hint="eastAsia" w:ascii="仿宋" w:hAnsi="仿宋" w:eastAsia="仿宋"/>
          <w:sz w:val="24"/>
          <w:szCs w:val="24"/>
          <w:lang w:val="en-US" w:eastAsia="zh-CN"/>
        </w:rPr>
        <w:t>马店总务科</w:t>
      </w:r>
      <w:r>
        <w:rPr>
          <w:rFonts w:hint="eastAsia" w:ascii="仿宋" w:hAnsi="仿宋" w:eastAsia="仿宋"/>
          <w:sz w:val="24"/>
          <w:szCs w:val="24"/>
          <w:lang w:eastAsia="zh-CN"/>
        </w:rPr>
        <w:t>☑</w:t>
      </w:r>
      <w:r>
        <w:rPr>
          <w:rFonts w:hint="eastAsia" w:ascii="仿宋" w:hAnsi="仿宋" w:eastAsia="仿宋"/>
          <w:sz w:val="24"/>
          <w:szCs w:val="24"/>
          <w:u w:val="single"/>
        </w:rPr>
        <w:t xml:space="preserve">    </w:t>
      </w:r>
    </w:p>
    <w:p w14:paraId="6BC04ECD">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80" w:firstLineChars="200"/>
        <w:textAlignment w:val="auto"/>
        <w:rPr>
          <w:rFonts w:hint="eastAsia" w:ascii="仿宋" w:hAnsi="仿宋" w:eastAsia="仿宋"/>
          <w:sz w:val="24"/>
          <w:szCs w:val="24"/>
        </w:rPr>
      </w:pPr>
      <w:r>
        <w:rPr>
          <w:rFonts w:hint="eastAsia" w:ascii="仿宋" w:hAnsi="仿宋" w:eastAsia="仿宋"/>
          <w:sz w:val="24"/>
          <w:szCs w:val="24"/>
          <w:u w:val="single"/>
        </w:rPr>
        <w:t xml:space="preserve"> </w:t>
      </w:r>
      <w:r>
        <w:rPr>
          <w:rFonts w:hint="eastAsia" w:ascii="仿宋" w:hAnsi="仿宋" w:eastAsia="仿宋"/>
          <w:sz w:val="24"/>
          <w:szCs w:val="24"/>
          <w:u w:val="single"/>
          <w:lang w:val="en-US" w:eastAsia="zh-CN"/>
        </w:rPr>
        <w:t>2110314102</w:t>
      </w:r>
      <w:r>
        <w:rPr>
          <w:rFonts w:hint="eastAsia" w:ascii="仿宋" w:hAnsi="仿宋" w:eastAsia="仿宋"/>
          <w:sz w:val="24"/>
          <w:szCs w:val="24"/>
          <w:u w:val="none"/>
        </w:rPr>
        <w:t xml:space="preserve"> </w:t>
      </w:r>
      <w:r>
        <w:rPr>
          <w:rFonts w:hint="eastAsia" w:ascii="仿宋" w:hAnsi="仿宋" w:eastAsia="仿宋"/>
          <w:sz w:val="24"/>
          <w:szCs w:val="24"/>
          <w:u w:val="single"/>
        </w:rPr>
        <w:t xml:space="preserve">@qq.com  </w:t>
      </w:r>
      <w:bookmarkStart w:id="4" w:name="_GoBack"/>
      <w:bookmarkEnd w:id="4"/>
    </w:p>
    <w:p w14:paraId="65D7E4A6">
      <w:pPr>
        <w:keepNext w:val="0"/>
        <w:keepLines w:val="0"/>
        <w:pageBreakBefore w:val="0"/>
        <w:widowControl w:val="0"/>
        <w:numPr>
          <w:ilvl w:val="0"/>
          <w:numId w:val="1"/>
        </w:numPr>
        <w:kinsoku/>
        <w:wordWrap/>
        <w:overflowPunct/>
        <w:topLinePunct w:val="0"/>
        <w:autoSpaceDE/>
        <w:autoSpaceDN/>
        <w:bidi w:val="0"/>
        <w:adjustRightInd/>
        <w:snapToGrid/>
        <w:spacing w:line="300" w:lineRule="exact"/>
        <w:ind w:left="0" w:leftChars="0" w:firstLine="560" w:firstLineChars="200"/>
        <w:textAlignment w:val="auto"/>
        <w:rPr>
          <w:rFonts w:hint="default" w:ascii="仿宋" w:hAnsi="仿宋" w:eastAsia="仿宋"/>
          <w:b/>
          <w:bCs/>
          <w:sz w:val="28"/>
          <w:szCs w:val="28"/>
          <w:lang w:val="en-US" w:eastAsia="zh-CN"/>
        </w:rPr>
      </w:pPr>
      <w:r>
        <w:rPr>
          <w:rFonts w:hint="eastAsia" w:ascii="仿宋" w:hAnsi="仿宋" w:eastAsia="仿宋"/>
          <w:sz w:val="28"/>
          <w:szCs w:val="28"/>
        </w:rPr>
        <w:t>响应情况（是/否）若为否则</w:t>
      </w:r>
      <w:r>
        <w:rPr>
          <w:rFonts w:hint="eastAsia" w:ascii="仿宋" w:hAnsi="仿宋" w:eastAsia="仿宋"/>
          <w:sz w:val="28"/>
          <w:szCs w:val="28"/>
          <w:lang w:eastAsia="zh-CN"/>
        </w:rPr>
        <w:t>须标注</w:t>
      </w:r>
      <w:r>
        <w:rPr>
          <w:rFonts w:hint="eastAsia" w:ascii="仿宋" w:hAnsi="仿宋" w:eastAsia="仿宋"/>
          <w:sz w:val="28"/>
          <w:szCs w:val="28"/>
        </w:rPr>
        <w:t>具体建议修改</w:t>
      </w:r>
      <w:r>
        <w:rPr>
          <w:rFonts w:hint="eastAsia" w:ascii="仿宋" w:hAnsi="仿宋" w:eastAsia="仿宋"/>
          <w:sz w:val="28"/>
          <w:szCs w:val="28"/>
          <w:lang w:eastAsia="zh-CN"/>
        </w:rPr>
        <w:t>指标（</w:t>
      </w:r>
      <w:r>
        <w:rPr>
          <w:rFonts w:hint="eastAsia" w:ascii="仿宋" w:hAnsi="仿宋" w:eastAsia="仿宋"/>
          <w:b/>
          <w:bCs/>
          <w:sz w:val="28"/>
          <w:szCs w:val="28"/>
          <w:lang w:eastAsia="zh-CN"/>
        </w:rPr>
        <w:t>未标注则默认为响应初步参数</w:t>
      </w:r>
      <w:r>
        <w:rPr>
          <w:rFonts w:hint="eastAsia" w:ascii="仿宋" w:hAnsi="仿宋" w:eastAsia="仿宋"/>
          <w:sz w:val="28"/>
          <w:szCs w:val="28"/>
          <w:lang w:eastAsia="zh-CN"/>
        </w:rPr>
        <w:t>）</w:t>
      </w:r>
      <w:r>
        <w:rPr>
          <w:rFonts w:hint="eastAsia" w:ascii="仿宋" w:hAnsi="仿宋" w:eastAsia="仿宋"/>
          <w:sz w:val="28"/>
          <w:szCs w:val="28"/>
        </w:rPr>
        <w:t>，</w:t>
      </w:r>
      <w:r>
        <w:rPr>
          <w:rFonts w:hint="eastAsia" w:ascii="仿宋" w:hAnsi="仿宋" w:eastAsia="仿宋"/>
          <w:b/>
          <w:bCs/>
          <w:sz w:val="28"/>
          <w:szCs w:val="28"/>
        </w:rPr>
        <w:t>建议修改</w:t>
      </w:r>
      <w:r>
        <w:rPr>
          <w:rFonts w:hint="eastAsia" w:ascii="仿宋" w:hAnsi="仿宋" w:eastAsia="仿宋"/>
          <w:b/>
          <w:bCs/>
          <w:sz w:val="28"/>
          <w:szCs w:val="28"/>
          <w:lang w:eastAsia="zh-CN"/>
        </w:rPr>
        <w:t>指标</w:t>
      </w:r>
      <w:r>
        <w:rPr>
          <w:rFonts w:hint="eastAsia" w:ascii="仿宋" w:hAnsi="仿宋" w:eastAsia="仿宋"/>
          <w:b/>
          <w:bCs/>
          <w:sz w:val="28"/>
          <w:szCs w:val="28"/>
        </w:rPr>
        <w:t>须</w:t>
      </w:r>
      <w:r>
        <w:rPr>
          <w:rFonts w:hint="eastAsia" w:ascii="仿宋" w:hAnsi="仿宋" w:eastAsia="仿宋"/>
          <w:b/>
          <w:bCs/>
          <w:sz w:val="28"/>
          <w:szCs w:val="28"/>
          <w:lang w:eastAsia="zh-CN"/>
        </w:rPr>
        <w:t>提供相应证明材料。</w:t>
      </w:r>
      <w:r>
        <w:rPr>
          <w:rFonts w:hint="eastAsia" w:ascii="仿宋" w:hAnsi="仿宋" w:eastAsia="仿宋"/>
          <w:b/>
          <w:bCs/>
          <w:sz w:val="28"/>
          <w:szCs w:val="28"/>
          <w:lang w:val="en-US" w:eastAsia="zh-CN"/>
        </w:rPr>
        <w:t>表中标注的须供应商填写的类似项目业绩情况，请填写。）</w:t>
      </w:r>
    </w:p>
    <w:p w14:paraId="0C7B51EB">
      <w:pPr>
        <w:keepNext w:val="0"/>
        <w:keepLines w:val="0"/>
        <w:pageBreakBefore w:val="0"/>
        <w:widowControl w:val="0"/>
        <w:numPr>
          <w:ilvl w:val="0"/>
          <w:numId w:val="1"/>
        </w:numPr>
        <w:kinsoku/>
        <w:wordWrap/>
        <w:overflowPunct/>
        <w:topLinePunct w:val="0"/>
        <w:autoSpaceDE/>
        <w:autoSpaceDN/>
        <w:bidi w:val="0"/>
        <w:adjustRightInd/>
        <w:snapToGrid/>
        <w:spacing w:line="300" w:lineRule="exact"/>
        <w:ind w:left="0" w:leftChars="0" w:firstLine="562" w:firstLineChars="200"/>
        <w:textAlignment w:val="auto"/>
        <w:rPr>
          <w:rFonts w:hint="default" w:ascii="仿宋" w:hAnsi="仿宋" w:eastAsia="仿宋"/>
          <w:b/>
          <w:bCs/>
          <w:sz w:val="28"/>
          <w:szCs w:val="28"/>
          <w:lang w:val="en-US" w:eastAsia="zh-CN"/>
        </w:rPr>
      </w:pPr>
      <w:r>
        <w:rPr>
          <w:rFonts w:hint="eastAsia" w:ascii="仿宋" w:hAnsi="仿宋" w:eastAsia="仿宋"/>
          <w:b/>
          <w:bCs/>
          <w:sz w:val="28"/>
          <w:szCs w:val="28"/>
          <w:lang w:val="en-US" w:eastAsia="zh-CN"/>
        </w:rPr>
        <w:t>请供应商认真通读以下项目概况和参数结构表的内容，然后填报响应情况。</w:t>
      </w:r>
    </w:p>
    <w:p w14:paraId="4DAAC7A7">
      <w:pPr>
        <w:keepNext w:val="0"/>
        <w:keepLines w:val="0"/>
        <w:pageBreakBefore w:val="0"/>
        <w:widowControl w:val="0"/>
        <w:numPr>
          <w:ilvl w:val="0"/>
          <w:numId w:val="1"/>
        </w:numPr>
        <w:kinsoku/>
        <w:wordWrap/>
        <w:overflowPunct/>
        <w:topLinePunct w:val="0"/>
        <w:autoSpaceDE/>
        <w:autoSpaceDN/>
        <w:bidi w:val="0"/>
        <w:adjustRightInd/>
        <w:snapToGrid/>
        <w:spacing w:line="300" w:lineRule="exact"/>
        <w:ind w:left="0" w:leftChars="0" w:firstLine="562" w:firstLineChars="200"/>
        <w:textAlignment w:val="auto"/>
        <w:rPr>
          <w:rFonts w:hint="default" w:ascii="仿宋" w:hAnsi="仿宋" w:eastAsia="仿宋"/>
          <w:b/>
          <w:bCs/>
          <w:sz w:val="28"/>
          <w:szCs w:val="28"/>
          <w:lang w:val="en-US" w:eastAsia="zh-CN"/>
        </w:rPr>
      </w:pPr>
      <w:r>
        <w:rPr>
          <w:rFonts w:hint="eastAsia" w:ascii="仿宋" w:hAnsi="仿宋" w:eastAsia="仿宋"/>
          <w:b/>
          <w:bCs/>
          <w:sz w:val="28"/>
          <w:szCs w:val="28"/>
          <w:lang w:val="en-US" w:eastAsia="zh-CN"/>
        </w:rPr>
        <w:t>如有其他合理建议，填写建议修改指标（内容）。</w:t>
      </w:r>
    </w:p>
    <w:p w14:paraId="36F2EB87">
      <w:pPr>
        <w:pStyle w:val="6"/>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 w:hAnsi="仿宋" w:eastAsia="仿宋" w:cs="仿宋"/>
          <w:color w:val="000000"/>
          <w:sz w:val="24"/>
          <w:szCs w:val="24"/>
        </w:rPr>
      </w:pPr>
      <w:r>
        <w:rPr>
          <w:rFonts w:hint="eastAsia" w:ascii="仿宋" w:hAnsi="仿宋" w:eastAsia="仿宋" w:cs="仿宋"/>
          <w:color w:val="000000"/>
          <w:sz w:val="24"/>
          <w:szCs w:val="24"/>
        </w:rPr>
        <w:t>项目概况</w:t>
      </w:r>
    </w:p>
    <w:p w14:paraId="00914FE2">
      <w:pPr>
        <w:widowControl w:val="0"/>
        <w:numPr>
          <w:ilvl w:val="0"/>
          <w:numId w:val="0"/>
        </w:numPr>
        <w:spacing w:line="360" w:lineRule="auto"/>
        <w:ind w:firstLine="480" w:firstLineChars="200"/>
        <w:jc w:val="both"/>
        <w:rPr>
          <w:rFonts w:hint="eastAsia" w:ascii="仿宋" w:hAnsi="仿宋" w:eastAsia="仿宋" w:cs="仿宋"/>
          <w:sz w:val="24"/>
          <w:szCs w:val="24"/>
          <w:lang w:val="en-US" w:eastAsia="zh-CN"/>
        </w:rPr>
      </w:pPr>
      <w:r>
        <w:rPr>
          <w:rFonts w:hint="default" w:ascii="仿宋" w:hAnsi="仿宋" w:eastAsia="仿宋" w:cs="仿宋"/>
          <w:sz w:val="24"/>
          <w:szCs w:val="24"/>
          <w:lang w:val="en-US" w:eastAsia="zh-CN"/>
        </w:rPr>
        <w:t>霍邱县第六人民医院</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六安市中医院马店分院</w:t>
      </w:r>
      <w:r>
        <w:rPr>
          <w:rFonts w:hint="eastAsia" w:ascii="仿宋" w:hAnsi="仿宋" w:eastAsia="仿宋" w:cs="仿宋"/>
          <w:sz w:val="24"/>
          <w:szCs w:val="24"/>
          <w:lang w:val="en-US" w:eastAsia="zh-CN"/>
        </w:rPr>
        <w:t>）位于霍邱</w:t>
      </w:r>
      <w:r>
        <w:rPr>
          <w:rFonts w:hint="default" w:ascii="仿宋" w:hAnsi="仿宋" w:eastAsia="仿宋" w:cs="仿宋"/>
          <w:sz w:val="24"/>
          <w:szCs w:val="24"/>
          <w:lang w:val="en-US" w:eastAsia="zh-CN"/>
        </w:rPr>
        <w:t>县</w:t>
      </w:r>
      <w:r>
        <w:rPr>
          <w:rFonts w:hint="eastAsia" w:ascii="仿宋" w:hAnsi="仿宋" w:eastAsia="仿宋" w:cs="仿宋"/>
          <w:sz w:val="24"/>
          <w:szCs w:val="24"/>
          <w:lang w:val="en-US" w:eastAsia="zh-CN"/>
        </w:rPr>
        <w:t>马店镇，包含门诊医技综合楼、宿舍楼及附属建筑，</w:t>
      </w:r>
      <w:r>
        <w:rPr>
          <w:rFonts w:hint="default" w:ascii="仿宋" w:hAnsi="仿宋" w:eastAsia="仿宋" w:cs="仿宋"/>
          <w:sz w:val="24"/>
          <w:szCs w:val="24"/>
          <w:lang w:val="en-US" w:eastAsia="zh-CN"/>
        </w:rPr>
        <w:t>建筑面积</w:t>
      </w:r>
      <w:r>
        <w:rPr>
          <w:rFonts w:hint="eastAsia" w:ascii="仿宋" w:hAnsi="仿宋" w:eastAsia="仿宋" w:cs="仿宋"/>
          <w:sz w:val="24"/>
          <w:szCs w:val="24"/>
          <w:lang w:val="en-US" w:eastAsia="zh-CN"/>
        </w:rPr>
        <w:t>共约6</w:t>
      </w:r>
      <w:r>
        <w:rPr>
          <w:rFonts w:hint="default" w:ascii="仿宋" w:hAnsi="仿宋" w:eastAsia="仿宋" w:cs="仿宋"/>
          <w:sz w:val="24"/>
          <w:szCs w:val="24"/>
          <w:lang w:val="en-US" w:eastAsia="zh-CN"/>
        </w:rPr>
        <w:t>万平方米</w:t>
      </w:r>
      <w:r>
        <w:rPr>
          <w:rFonts w:hint="eastAsia" w:ascii="仿宋" w:hAnsi="仿宋" w:eastAsia="仿宋" w:cs="仿宋"/>
          <w:sz w:val="24"/>
          <w:szCs w:val="24"/>
          <w:lang w:val="en-US" w:eastAsia="zh-CN"/>
        </w:rPr>
        <w:t>，于2021年6月启用。目前在院职工为135人，精神科病人90人，其他科室住院病人80人左右。</w:t>
      </w:r>
    </w:p>
    <w:p w14:paraId="5AE28A6F">
      <w:pPr>
        <w:widowControl w:val="0"/>
        <w:numPr>
          <w:ilvl w:val="0"/>
          <w:numId w:val="0"/>
        </w:numPr>
        <w:spacing w:line="360" w:lineRule="auto"/>
        <w:ind w:firstLine="480" w:firstLineChars="200"/>
        <w:jc w:val="both"/>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依据采购人完善便民、职工、病人服务措施的需要，拟对食堂外包服务进行招标。本项目由供应商运营管理，采购人仅负责配合提供场地和提供基础设施，如节能炒灶、燃气蒸饭车以及各式操作台，其他设备由供应商自行配备（其中包括：燃气报警系统设备、空调、监控系统（含明厨亮灶建设）、收费系统等购置均由成交供应商免费提供并实施。</w:t>
      </w:r>
    </w:p>
    <w:p w14:paraId="5F3B90AC">
      <w:pPr>
        <w:widowControl w:val="0"/>
        <w:numPr>
          <w:ilvl w:val="0"/>
          <w:numId w:val="0"/>
        </w:numPr>
        <w:spacing w:line="360" w:lineRule="auto"/>
        <w:ind w:firstLine="480" w:firstLineChars="200"/>
        <w:jc w:val="both"/>
        <w:rPr>
          <w:rFonts w:hint="eastAsia" w:ascii="仿宋" w:hAnsi="仿宋" w:eastAsia="仿宋" w:cs="仿宋"/>
          <w:sz w:val="24"/>
          <w:szCs w:val="24"/>
        </w:rPr>
      </w:pPr>
    </w:p>
    <w:p w14:paraId="603A0DB0">
      <w:pPr>
        <w:spacing w:line="320" w:lineRule="exact"/>
        <w:rPr>
          <w:rFonts w:ascii="仿宋" w:hAnsi="仿宋" w:eastAsia="仿宋"/>
          <w:b/>
          <w:sz w:val="24"/>
          <w:szCs w:val="24"/>
        </w:rPr>
      </w:pPr>
      <w:r>
        <w:rPr>
          <w:rFonts w:hint="eastAsia" w:ascii="仿宋" w:hAnsi="仿宋" w:eastAsia="仿宋"/>
          <w:b/>
          <w:sz w:val="24"/>
          <w:szCs w:val="24"/>
          <w:lang w:eastAsia="zh-CN"/>
        </w:rPr>
        <w:t>第一部分：</w:t>
      </w:r>
      <w:r>
        <w:rPr>
          <w:rFonts w:hint="eastAsia" w:ascii="仿宋" w:hAnsi="仿宋" w:eastAsia="仿宋"/>
          <w:b/>
          <w:sz w:val="24"/>
          <w:szCs w:val="24"/>
        </w:rPr>
        <w:t>拟购项目初步参数结构</w:t>
      </w:r>
    </w:p>
    <w:tbl>
      <w:tblPr>
        <w:tblStyle w:val="16"/>
        <w:tblW w:w="941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33"/>
        <w:gridCol w:w="1198"/>
        <w:gridCol w:w="3395"/>
        <w:gridCol w:w="835"/>
        <w:gridCol w:w="1275"/>
        <w:gridCol w:w="2082"/>
      </w:tblGrid>
      <w:tr w14:paraId="36201C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061" w:type="dxa"/>
            <w:gridSpan w:val="4"/>
          </w:tcPr>
          <w:p w14:paraId="23C8C8AD">
            <w:pPr>
              <w:spacing w:line="320" w:lineRule="exact"/>
              <w:jc w:val="center"/>
              <w:rPr>
                <w:rFonts w:hint="eastAsia" w:ascii="仿宋" w:hAnsi="仿宋" w:eastAsia="仿宋"/>
                <w:b w:val="0"/>
                <w:bCs/>
                <w:szCs w:val="21"/>
                <w:lang w:eastAsia="zh-CN"/>
              </w:rPr>
            </w:pPr>
            <w:r>
              <w:rPr>
                <w:rFonts w:hint="eastAsia" w:ascii="仿宋" w:hAnsi="仿宋" w:eastAsia="仿宋"/>
                <w:b w:val="0"/>
                <w:bCs/>
                <w:szCs w:val="21"/>
              </w:rPr>
              <w:t>本项目初步参数拟设置情况</w:t>
            </w:r>
          </w:p>
        </w:tc>
        <w:tc>
          <w:tcPr>
            <w:tcW w:w="1275" w:type="dxa"/>
            <w:vMerge w:val="restart"/>
          </w:tcPr>
          <w:p w14:paraId="05EAE16D">
            <w:pPr>
              <w:spacing w:line="320" w:lineRule="exact"/>
              <w:jc w:val="both"/>
              <w:rPr>
                <w:rFonts w:hint="eastAsia" w:ascii="仿宋" w:hAnsi="仿宋" w:eastAsia="仿宋"/>
                <w:b/>
                <w:bCs w:val="0"/>
                <w:color w:val="FF0000"/>
                <w:szCs w:val="21"/>
              </w:rPr>
            </w:pPr>
          </w:p>
          <w:p w14:paraId="6E6410FA">
            <w:pPr>
              <w:spacing w:line="320" w:lineRule="exact"/>
              <w:jc w:val="both"/>
              <w:rPr>
                <w:rFonts w:ascii="仿宋" w:hAnsi="仿宋"/>
                <w:b/>
                <w:bCs w:val="0"/>
                <w:color w:val="FF0000"/>
                <w:szCs w:val="21"/>
              </w:rPr>
            </w:pPr>
            <w:r>
              <w:rPr>
                <w:rFonts w:hint="eastAsia" w:ascii="仿宋" w:hAnsi="仿宋" w:eastAsia="仿宋"/>
                <w:b/>
                <w:bCs w:val="0"/>
                <w:color w:val="FF0000"/>
                <w:szCs w:val="21"/>
              </w:rPr>
              <w:t>响应情况</w:t>
            </w:r>
          </w:p>
        </w:tc>
        <w:tc>
          <w:tcPr>
            <w:tcW w:w="2082" w:type="dxa"/>
            <w:vMerge w:val="restart"/>
          </w:tcPr>
          <w:p w14:paraId="231B9B49">
            <w:pPr>
              <w:spacing w:line="320" w:lineRule="exact"/>
              <w:jc w:val="both"/>
              <w:rPr>
                <w:rFonts w:hint="eastAsia" w:ascii="仿宋" w:hAnsi="仿宋" w:eastAsia="仿宋"/>
                <w:b/>
                <w:bCs w:val="0"/>
                <w:color w:val="FF0000"/>
                <w:szCs w:val="21"/>
              </w:rPr>
            </w:pPr>
          </w:p>
          <w:p w14:paraId="47496D7D">
            <w:pPr>
              <w:spacing w:line="320" w:lineRule="exact"/>
              <w:jc w:val="center"/>
              <w:rPr>
                <w:rFonts w:ascii="仿宋" w:hAnsi="仿宋" w:eastAsia="仿宋"/>
                <w:b/>
                <w:bCs w:val="0"/>
                <w:color w:val="FF0000"/>
                <w:szCs w:val="21"/>
              </w:rPr>
            </w:pPr>
            <w:r>
              <w:rPr>
                <w:rFonts w:hint="eastAsia" w:ascii="仿宋" w:hAnsi="仿宋" w:eastAsia="仿宋"/>
                <w:b/>
                <w:bCs w:val="0"/>
                <w:color w:val="FF0000"/>
                <w:szCs w:val="21"/>
              </w:rPr>
              <w:t>建议修改</w:t>
            </w:r>
            <w:r>
              <w:rPr>
                <w:rFonts w:hint="eastAsia" w:ascii="仿宋" w:hAnsi="仿宋" w:eastAsia="仿宋"/>
                <w:b/>
                <w:bCs w:val="0"/>
                <w:color w:val="FF0000"/>
                <w:szCs w:val="21"/>
                <w:lang w:eastAsia="zh-CN"/>
              </w:rPr>
              <w:t>指标</w:t>
            </w:r>
          </w:p>
        </w:tc>
      </w:tr>
      <w:tr w14:paraId="75ED68C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33" w:type="dxa"/>
          </w:tcPr>
          <w:p w14:paraId="33A27C08">
            <w:pPr>
              <w:spacing w:line="320" w:lineRule="exact"/>
              <w:jc w:val="center"/>
              <w:rPr>
                <w:rFonts w:ascii="仿宋" w:hAnsi="仿宋" w:eastAsia="仿宋"/>
                <w:b w:val="0"/>
                <w:bCs/>
                <w:szCs w:val="21"/>
              </w:rPr>
            </w:pPr>
            <w:r>
              <w:rPr>
                <w:rFonts w:hint="eastAsia" w:ascii="仿宋" w:hAnsi="仿宋" w:eastAsia="仿宋"/>
                <w:b w:val="0"/>
                <w:bCs/>
                <w:szCs w:val="21"/>
              </w:rPr>
              <w:t>序号</w:t>
            </w:r>
          </w:p>
        </w:tc>
        <w:tc>
          <w:tcPr>
            <w:tcW w:w="1198" w:type="dxa"/>
          </w:tcPr>
          <w:p w14:paraId="7EBC6663">
            <w:pPr>
              <w:spacing w:line="320" w:lineRule="exact"/>
              <w:jc w:val="center"/>
              <w:rPr>
                <w:rFonts w:ascii="仿宋" w:hAnsi="仿宋" w:eastAsia="仿宋"/>
                <w:b w:val="0"/>
                <w:bCs/>
                <w:szCs w:val="21"/>
              </w:rPr>
            </w:pPr>
            <w:r>
              <w:rPr>
                <w:rFonts w:hint="eastAsia" w:ascii="仿宋" w:hAnsi="仿宋" w:eastAsia="仿宋"/>
                <w:b w:val="0"/>
                <w:bCs/>
                <w:szCs w:val="21"/>
              </w:rPr>
              <w:t>参数名称</w:t>
            </w:r>
          </w:p>
        </w:tc>
        <w:tc>
          <w:tcPr>
            <w:tcW w:w="3395" w:type="dxa"/>
          </w:tcPr>
          <w:p w14:paraId="7DFC1638">
            <w:pPr>
              <w:spacing w:line="320" w:lineRule="exact"/>
              <w:jc w:val="center"/>
              <w:rPr>
                <w:rFonts w:hint="eastAsia" w:ascii="仿宋" w:hAnsi="仿宋" w:eastAsia="仿宋"/>
                <w:b w:val="0"/>
                <w:bCs/>
                <w:szCs w:val="21"/>
                <w:lang w:eastAsia="zh-CN"/>
              </w:rPr>
            </w:pPr>
            <w:r>
              <w:rPr>
                <w:rFonts w:hint="eastAsia" w:ascii="仿宋" w:hAnsi="仿宋" w:eastAsia="仿宋"/>
                <w:b w:val="0"/>
                <w:bCs/>
                <w:szCs w:val="21"/>
                <w:lang w:eastAsia="zh-CN"/>
              </w:rPr>
              <w:t>初步</w:t>
            </w:r>
            <w:r>
              <w:rPr>
                <w:rFonts w:hint="eastAsia" w:ascii="仿宋" w:hAnsi="仿宋" w:eastAsia="仿宋"/>
                <w:b w:val="0"/>
                <w:bCs/>
                <w:szCs w:val="21"/>
              </w:rPr>
              <w:t>参数</w:t>
            </w:r>
            <w:r>
              <w:rPr>
                <w:rFonts w:hint="eastAsia" w:ascii="仿宋" w:hAnsi="仿宋" w:eastAsia="仿宋"/>
                <w:b w:val="0"/>
                <w:bCs/>
                <w:szCs w:val="21"/>
                <w:lang w:eastAsia="zh-CN"/>
              </w:rPr>
              <w:t>设置情况</w:t>
            </w:r>
          </w:p>
        </w:tc>
        <w:tc>
          <w:tcPr>
            <w:tcW w:w="835" w:type="dxa"/>
          </w:tcPr>
          <w:p w14:paraId="02CED95A">
            <w:pPr>
              <w:spacing w:line="320" w:lineRule="exact"/>
              <w:jc w:val="center"/>
              <w:rPr>
                <w:rFonts w:hint="eastAsia" w:ascii="仿宋" w:hAnsi="仿宋" w:eastAsia="仿宋"/>
                <w:b w:val="0"/>
                <w:bCs/>
                <w:szCs w:val="21"/>
                <w:lang w:eastAsia="zh-CN"/>
              </w:rPr>
            </w:pPr>
            <w:r>
              <w:rPr>
                <w:rFonts w:hint="eastAsia" w:ascii="仿宋" w:hAnsi="仿宋" w:eastAsia="仿宋"/>
                <w:b w:val="0"/>
                <w:bCs/>
                <w:szCs w:val="21"/>
                <w:lang w:eastAsia="zh-CN"/>
              </w:rPr>
              <w:t>是否设置为为★</w:t>
            </w:r>
          </w:p>
        </w:tc>
        <w:tc>
          <w:tcPr>
            <w:tcW w:w="1275" w:type="dxa"/>
            <w:vMerge w:val="continue"/>
          </w:tcPr>
          <w:p w14:paraId="799DA52C">
            <w:pPr>
              <w:spacing w:line="320" w:lineRule="exact"/>
              <w:rPr>
                <w:rFonts w:ascii="仿宋" w:hAnsi="仿宋" w:eastAsia="仿宋"/>
                <w:b w:val="0"/>
                <w:bCs/>
                <w:szCs w:val="21"/>
              </w:rPr>
            </w:pPr>
          </w:p>
        </w:tc>
        <w:tc>
          <w:tcPr>
            <w:tcW w:w="2082" w:type="dxa"/>
            <w:vMerge w:val="continue"/>
          </w:tcPr>
          <w:p w14:paraId="4CC32EBF">
            <w:pPr>
              <w:spacing w:line="320" w:lineRule="exact"/>
              <w:rPr>
                <w:rFonts w:ascii="仿宋" w:hAnsi="仿宋" w:eastAsia="仿宋"/>
                <w:b w:val="0"/>
                <w:bCs/>
                <w:szCs w:val="21"/>
              </w:rPr>
            </w:pPr>
          </w:p>
        </w:tc>
      </w:tr>
      <w:tr w14:paraId="637211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 w:hRule="atLeast"/>
        </w:trPr>
        <w:tc>
          <w:tcPr>
            <w:tcW w:w="633" w:type="dxa"/>
          </w:tcPr>
          <w:p w14:paraId="4051CBEF">
            <w:pPr>
              <w:spacing w:line="320" w:lineRule="exact"/>
              <w:rPr>
                <w:rFonts w:hint="eastAsia" w:ascii="仿宋" w:hAnsi="仿宋" w:eastAsia="仿宋"/>
                <w:b w:val="0"/>
                <w:bCs/>
                <w:szCs w:val="21"/>
                <w:lang w:val="en-US" w:eastAsia="zh-CN"/>
              </w:rPr>
            </w:pPr>
          </w:p>
          <w:p w14:paraId="40BEC55C">
            <w:pPr>
              <w:spacing w:line="320" w:lineRule="exact"/>
              <w:rPr>
                <w:rFonts w:hint="eastAsia" w:ascii="仿宋" w:hAnsi="仿宋" w:eastAsia="仿宋"/>
                <w:b w:val="0"/>
                <w:bCs/>
                <w:szCs w:val="21"/>
                <w:lang w:val="en-US" w:eastAsia="zh-CN"/>
              </w:rPr>
            </w:pPr>
          </w:p>
          <w:p w14:paraId="1A76721F">
            <w:pPr>
              <w:spacing w:line="320" w:lineRule="exact"/>
              <w:rPr>
                <w:rFonts w:hint="default" w:ascii="仿宋" w:hAnsi="仿宋" w:eastAsia="仿宋"/>
                <w:b w:val="0"/>
                <w:bCs/>
                <w:szCs w:val="21"/>
                <w:lang w:val="en-US" w:eastAsia="zh-CN"/>
              </w:rPr>
            </w:pPr>
            <w:r>
              <w:rPr>
                <w:rFonts w:hint="eastAsia" w:ascii="仿宋" w:hAnsi="仿宋" w:eastAsia="仿宋"/>
                <w:b w:val="0"/>
                <w:bCs/>
                <w:szCs w:val="21"/>
                <w:lang w:val="en-US" w:eastAsia="zh-CN"/>
              </w:rPr>
              <w:t>1、</w:t>
            </w:r>
          </w:p>
        </w:tc>
        <w:tc>
          <w:tcPr>
            <w:tcW w:w="1198" w:type="dxa"/>
          </w:tcPr>
          <w:p w14:paraId="051B1B16">
            <w:pPr>
              <w:spacing w:line="320" w:lineRule="exact"/>
              <w:rPr>
                <w:rFonts w:hint="eastAsia"/>
                <w:b/>
                <w:bCs/>
                <w:sz w:val="32"/>
                <w:szCs w:val="32"/>
                <w:highlight w:val="yellow"/>
                <w:lang w:val="en-US" w:eastAsia="zh-CN"/>
              </w:rPr>
            </w:pPr>
          </w:p>
          <w:p w14:paraId="372E379E">
            <w:pPr>
              <w:spacing w:line="320" w:lineRule="exact"/>
              <w:rPr>
                <w:rFonts w:hint="eastAsia" w:ascii="仿宋" w:hAnsi="仿宋" w:eastAsia="仿宋" w:cs="仿宋"/>
                <w:b/>
                <w:bCs/>
                <w:color w:val="auto"/>
                <w:sz w:val="24"/>
                <w:szCs w:val="24"/>
                <w:highlight w:val="none"/>
                <w:lang w:val="en-US" w:eastAsia="zh-CN"/>
              </w:rPr>
            </w:pPr>
          </w:p>
          <w:p w14:paraId="04430E58">
            <w:pPr>
              <w:spacing w:line="320" w:lineRule="exact"/>
              <w:rPr>
                <w:rFonts w:hint="eastAsia" w:ascii="仿宋" w:hAnsi="仿宋" w:eastAsia="仿宋" w:cs="仿宋"/>
                <w:b/>
                <w:bCs/>
                <w:color w:val="auto"/>
                <w:sz w:val="24"/>
                <w:szCs w:val="24"/>
                <w:highlight w:val="none"/>
                <w:lang w:val="en-US" w:eastAsia="zh-CN"/>
              </w:rPr>
            </w:pPr>
          </w:p>
          <w:p w14:paraId="1716AF26">
            <w:pPr>
              <w:spacing w:line="320" w:lineRule="exact"/>
              <w:rPr>
                <w:rFonts w:hint="eastAsia" w:ascii="仿宋" w:hAnsi="仿宋" w:eastAsia="仿宋"/>
                <w:b w:val="0"/>
                <w:bCs/>
                <w:szCs w:val="21"/>
                <w:lang w:val="en-US" w:eastAsia="zh-CN"/>
              </w:rPr>
            </w:pPr>
            <w:r>
              <w:rPr>
                <w:rFonts w:hint="eastAsia" w:ascii="仿宋" w:hAnsi="仿宋" w:eastAsia="仿宋" w:cs="仿宋"/>
                <w:b/>
                <w:bCs/>
                <w:color w:val="auto"/>
                <w:sz w:val="24"/>
                <w:szCs w:val="24"/>
                <w:highlight w:val="none"/>
                <w:lang w:val="en-US" w:eastAsia="zh-CN"/>
              </w:rPr>
              <w:t>一、资格条件</w:t>
            </w:r>
          </w:p>
        </w:tc>
        <w:tc>
          <w:tcPr>
            <w:tcW w:w="3395" w:type="dxa"/>
          </w:tcPr>
          <w:p w14:paraId="5CE00FBD">
            <w:pPr>
              <w:spacing w:line="320" w:lineRule="exact"/>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w:t>
            </w:r>
            <w:bookmarkStart w:id="0" w:name="_Toc3300"/>
            <w:bookmarkStart w:id="1" w:name="_Toc19241"/>
            <w:bookmarkStart w:id="2" w:name="_Toc3939"/>
            <w:bookmarkStart w:id="3" w:name="_Toc15583"/>
            <w:r>
              <w:rPr>
                <w:rFonts w:hint="eastAsia" w:ascii="仿宋" w:hAnsi="仿宋" w:eastAsia="仿宋" w:cs="仿宋"/>
                <w:b w:val="0"/>
                <w:bCs w:val="0"/>
                <w:sz w:val="21"/>
                <w:szCs w:val="21"/>
                <w:lang w:val="en-US" w:eastAsia="zh-CN"/>
              </w:rPr>
              <w:t>具有有效期内营业执照</w:t>
            </w:r>
            <w:bookmarkEnd w:id="0"/>
            <w:bookmarkEnd w:id="1"/>
            <w:bookmarkEnd w:id="2"/>
            <w:r>
              <w:rPr>
                <w:rFonts w:hint="eastAsia" w:ascii="仿宋" w:hAnsi="仿宋" w:eastAsia="仿宋" w:cs="仿宋"/>
                <w:b w:val="0"/>
                <w:bCs w:val="0"/>
                <w:sz w:val="21"/>
                <w:szCs w:val="21"/>
                <w:lang w:val="en-US" w:eastAsia="zh-CN"/>
              </w:rPr>
              <w:t>、食品经营许可证。营业范围包含餐饮服务，食品销售等。（提供营业执照复印件加盖公章）</w:t>
            </w:r>
            <w:bookmarkEnd w:id="3"/>
            <w:r>
              <w:rPr>
                <w:rFonts w:hint="eastAsia" w:ascii="仿宋" w:hAnsi="仿宋" w:eastAsia="仿宋" w:cs="仿宋"/>
                <w:b w:val="0"/>
                <w:bCs w:val="0"/>
                <w:sz w:val="21"/>
                <w:szCs w:val="21"/>
                <w:lang w:val="en-US" w:eastAsia="zh-CN"/>
              </w:rPr>
              <w:t>‌</w:t>
            </w:r>
          </w:p>
          <w:p w14:paraId="559F718F">
            <w:pPr>
              <w:pStyle w:val="14"/>
              <w:rPr>
                <w:rFonts w:hint="eastAsia" w:ascii="仿宋" w:hAnsi="仿宋" w:eastAsia="仿宋" w:cs="仿宋"/>
                <w:b w:val="0"/>
                <w:bCs w:val="0"/>
                <w:kern w:val="2"/>
                <w:sz w:val="21"/>
                <w:szCs w:val="21"/>
                <w:lang w:val="en-US" w:eastAsia="zh-CN" w:bidi="ar-SA"/>
              </w:rPr>
            </w:pPr>
            <w:r>
              <w:rPr>
                <w:rFonts w:hint="eastAsia" w:ascii="仿宋" w:hAnsi="仿宋" w:eastAsia="仿宋" w:cs="仿宋"/>
                <w:b w:val="0"/>
                <w:bCs w:val="0"/>
                <w:sz w:val="21"/>
                <w:szCs w:val="21"/>
                <w:lang w:val="en-US" w:eastAsia="zh-CN"/>
              </w:rPr>
              <w:t>2.满足《中华人民</w:t>
            </w:r>
            <w:r>
              <w:rPr>
                <w:rFonts w:hint="eastAsia" w:ascii="仿宋" w:hAnsi="仿宋" w:eastAsia="仿宋" w:cs="仿宋"/>
                <w:b w:val="0"/>
                <w:bCs w:val="0"/>
                <w:kern w:val="2"/>
                <w:sz w:val="21"/>
                <w:szCs w:val="21"/>
                <w:lang w:val="en-US" w:eastAsia="zh-CN" w:bidi="ar-SA"/>
              </w:rPr>
              <w:t>共和国政府采购法》第二十二条规定</w:t>
            </w:r>
          </w:p>
          <w:p w14:paraId="3D321912">
            <w:pPr>
              <w:pStyle w:val="14"/>
              <w:rPr>
                <w:rFonts w:hint="eastAsia" w:ascii="仿宋" w:hAnsi="仿宋" w:eastAsia="仿宋" w:cs="仿宋"/>
                <w:b w:val="0"/>
                <w:bCs w:val="0"/>
                <w:kern w:val="2"/>
                <w:sz w:val="21"/>
                <w:szCs w:val="21"/>
                <w:lang w:val="en-US" w:eastAsia="zh-CN" w:bidi="ar-SA"/>
              </w:rPr>
            </w:pPr>
            <w:r>
              <w:rPr>
                <w:rFonts w:hint="eastAsia" w:ascii="仿宋" w:hAnsi="仿宋" w:eastAsia="仿宋" w:cs="仿宋"/>
                <w:b w:val="0"/>
                <w:bCs w:val="0"/>
                <w:kern w:val="2"/>
                <w:sz w:val="21"/>
                <w:szCs w:val="21"/>
                <w:lang w:val="en-US" w:eastAsia="zh-CN" w:bidi="ar-SA"/>
              </w:rPr>
              <w:t>3.供应商拟派项目人员及企业管理人员需提供相应身份证及健康证。（提身份证、健康证复印件加盖公章）‌</w:t>
            </w:r>
          </w:p>
          <w:p w14:paraId="598682CF">
            <w:pPr>
              <w:pStyle w:val="14"/>
              <w:numPr>
                <w:ilvl w:val="0"/>
                <w:numId w:val="0"/>
              </w:numPr>
              <w:ind w:firstLine="210" w:firstLineChars="100"/>
              <w:rPr>
                <w:rFonts w:hint="eastAsia" w:ascii="仿宋" w:hAnsi="仿宋" w:eastAsia="仿宋" w:cs="仿宋"/>
                <w:b w:val="0"/>
                <w:bCs w:val="0"/>
                <w:kern w:val="2"/>
                <w:sz w:val="21"/>
                <w:szCs w:val="21"/>
                <w:lang w:val="en-US" w:eastAsia="zh-CN" w:bidi="ar-SA"/>
              </w:rPr>
            </w:pPr>
            <w:r>
              <w:rPr>
                <w:rFonts w:hint="eastAsia" w:ascii="仿宋" w:hAnsi="仿宋" w:eastAsia="仿宋" w:cs="仿宋"/>
                <w:b w:val="0"/>
                <w:bCs w:val="0"/>
                <w:kern w:val="2"/>
                <w:sz w:val="21"/>
                <w:szCs w:val="21"/>
                <w:lang w:val="en-US" w:eastAsia="zh-CN" w:bidi="ar-SA"/>
              </w:rPr>
              <w:t>4.具有履行合同所必需的设备和专业技术能力，需提供近三年内类似公共场所（如党政机关、事业单位、医院、学校）的合作业绩合同至少一份。(提供业绩合同复印件并加盖公章） ‌</w:t>
            </w:r>
          </w:p>
          <w:p w14:paraId="539A72A9">
            <w:pPr>
              <w:spacing w:line="320" w:lineRule="exact"/>
              <w:rPr>
                <w:rFonts w:hint="default" w:ascii="仿宋" w:hAnsi="仿宋" w:eastAsia="仿宋" w:cstheme="minorBidi"/>
                <w:b w:val="0"/>
                <w:bCs/>
                <w:kern w:val="2"/>
                <w:sz w:val="21"/>
                <w:szCs w:val="21"/>
                <w:lang w:val="en-US" w:eastAsia="zh-CN" w:bidi="ar-SA"/>
              </w:rPr>
            </w:pPr>
            <w:r>
              <w:rPr>
                <w:rFonts w:hint="eastAsia" w:ascii="仿宋" w:hAnsi="仿宋" w:eastAsia="仿宋" w:cs="仿宋"/>
                <w:b w:val="0"/>
                <w:bCs w:val="0"/>
                <w:sz w:val="21"/>
                <w:szCs w:val="21"/>
                <w:lang w:val="en-US" w:eastAsia="zh-CN"/>
              </w:rPr>
              <w:t>‌</w:t>
            </w:r>
          </w:p>
        </w:tc>
        <w:tc>
          <w:tcPr>
            <w:tcW w:w="835" w:type="dxa"/>
          </w:tcPr>
          <w:p w14:paraId="530A757A">
            <w:pPr>
              <w:spacing w:line="320" w:lineRule="exact"/>
              <w:rPr>
                <w:rFonts w:ascii="仿宋" w:hAnsi="仿宋" w:eastAsia="仿宋"/>
                <w:b w:val="0"/>
                <w:bCs/>
                <w:szCs w:val="21"/>
              </w:rPr>
            </w:pPr>
          </w:p>
        </w:tc>
        <w:tc>
          <w:tcPr>
            <w:tcW w:w="1275" w:type="dxa"/>
          </w:tcPr>
          <w:p w14:paraId="5A3DF3C1">
            <w:pPr>
              <w:spacing w:line="320" w:lineRule="exact"/>
              <w:rPr>
                <w:rFonts w:ascii="仿宋" w:hAnsi="仿宋" w:eastAsia="仿宋"/>
                <w:b w:val="0"/>
                <w:bCs/>
                <w:szCs w:val="21"/>
              </w:rPr>
            </w:pPr>
          </w:p>
        </w:tc>
        <w:tc>
          <w:tcPr>
            <w:tcW w:w="2082" w:type="dxa"/>
          </w:tcPr>
          <w:p w14:paraId="114AE3D4">
            <w:pPr>
              <w:spacing w:line="320" w:lineRule="exact"/>
              <w:rPr>
                <w:rFonts w:ascii="仿宋" w:hAnsi="仿宋" w:eastAsia="仿宋"/>
                <w:b w:val="0"/>
                <w:bCs/>
                <w:szCs w:val="21"/>
              </w:rPr>
            </w:pPr>
          </w:p>
        </w:tc>
      </w:tr>
      <w:tr w14:paraId="23D263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15" w:hRule="atLeast"/>
        </w:trPr>
        <w:tc>
          <w:tcPr>
            <w:tcW w:w="633" w:type="dxa"/>
          </w:tcPr>
          <w:p w14:paraId="3181D12B">
            <w:pPr>
              <w:spacing w:line="320" w:lineRule="exact"/>
              <w:rPr>
                <w:rFonts w:hint="default" w:ascii="仿宋" w:hAnsi="仿宋" w:eastAsia="仿宋"/>
                <w:b w:val="0"/>
                <w:bCs/>
                <w:szCs w:val="21"/>
                <w:lang w:val="en-US" w:eastAsia="zh-CN"/>
              </w:rPr>
            </w:pPr>
            <w:r>
              <w:rPr>
                <w:rFonts w:hint="eastAsia" w:ascii="仿宋" w:hAnsi="仿宋" w:eastAsia="仿宋"/>
                <w:b w:val="0"/>
                <w:bCs/>
                <w:szCs w:val="21"/>
                <w:lang w:val="en-US" w:eastAsia="zh-CN"/>
              </w:rPr>
              <w:t>2、</w:t>
            </w:r>
          </w:p>
        </w:tc>
        <w:tc>
          <w:tcPr>
            <w:tcW w:w="1198" w:type="dxa"/>
          </w:tcPr>
          <w:p w14:paraId="27D00261">
            <w:pPr>
              <w:spacing w:line="320" w:lineRule="exact"/>
              <w:rPr>
                <w:rFonts w:hint="eastAsia" w:ascii="仿宋" w:hAnsi="仿宋" w:eastAsia="仿宋"/>
                <w:b/>
                <w:bCs w:val="0"/>
                <w:sz w:val="24"/>
                <w:szCs w:val="24"/>
                <w:lang w:val="en-US" w:eastAsia="zh-CN"/>
              </w:rPr>
            </w:pPr>
            <w:r>
              <w:rPr>
                <w:rFonts w:hint="eastAsia" w:ascii="仿宋" w:hAnsi="仿宋" w:eastAsia="仿宋"/>
                <w:b/>
                <w:bCs w:val="0"/>
                <w:sz w:val="24"/>
                <w:szCs w:val="24"/>
                <w:lang w:val="en-US" w:eastAsia="zh-CN"/>
              </w:rPr>
              <w:t>二、项目进场期限</w:t>
            </w:r>
          </w:p>
        </w:tc>
        <w:tc>
          <w:tcPr>
            <w:tcW w:w="3395" w:type="dxa"/>
          </w:tcPr>
          <w:p w14:paraId="1E6E8A7B">
            <w:pPr>
              <w:pStyle w:val="9"/>
              <w:spacing w:before="212" w:line="220" w:lineRule="auto"/>
              <w:jc w:val="left"/>
              <w:outlineLvl w:val="1"/>
              <w:rPr>
                <w:rFonts w:hint="eastAsia" w:ascii="仿宋" w:hAnsi="仿宋" w:eastAsia="仿宋" w:cs="仿宋"/>
                <w:b w:val="0"/>
                <w:bCs/>
                <w:kern w:val="2"/>
                <w:sz w:val="21"/>
                <w:szCs w:val="21"/>
                <w:lang w:val="en-US" w:eastAsia="zh-CN" w:bidi="ar-SA"/>
              </w:rPr>
            </w:pPr>
            <w:r>
              <w:rPr>
                <w:rFonts w:hint="eastAsia" w:ascii="仿宋" w:hAnsi="仿宋" w:eastAsia="仿宋" w:cs="仿宋"/>
                <w:b w:val="0"/>
                <w:bCs/>
                <w:kern w:val="2"/>
                <w:sz w:val="21"/>
                <w:szCs w:val="21"/>
                <w:lang w:val="en-US" w:eastAsia="zh-CN" w:bidi="ar-SA"/>
              </w:rPr>
              <w:t>合同签订后15日内完成食堂人员进场、设备点检、特色改造、试运营等工作。</w:t>
            </w:r>
          </w:p>
        </w:tc>
        <w:tc>
          <w:tcPr>
            <w:tcW w:w="835" w:type="dxa"/>
          </w:tcPr>
          <w:p w14:paraId="71D8FA19">
            <w:pPr>
              <w:spacing w:line="320" w:lineRule="exact"/>
              <w:rPr>
                <w:rFonts w:ascii="仿宋" w:hAnsi="仿宋" w:eastAsia="仿宋"/>
                <w:b w:val="0"/>
                <w:bCs/>
                <w:szCs w:val="21"/>
              </w:rPr>
            </w:pPr>
          </w:p>
        </w:tc>
        <w:tc>
          <w:tcPr>
            <w:tcW w:w="1275" w:type="dxa"/>
          </w:tcPr>
          <w:p w14:paraId="0FA5DBEE">
            <w:pPr>
              <w:spacing w:line="320" w:lineRule="exact"/>
              <w:rPr>
                <w:rFonts w:hint="eastAsia" w:ascii="仿宋" w:hAnsi="仿宋" w:eastAsia="仿宋"/>
                <w:b w:val="0"/>
                <w:bCs/>
                <w:szCs w:val="21"/>
                <w:lang w:val="en-US" w:eastAsia="zh-CN"/>
              </w:rPr>
            </w:pPr>
          </w:p>
        </w:tc>
        <w:tc>
          <w:tcPr>
            <w:tcW w:w="2082" w:type="dxa"/>
          </w:tcPr>
          <w:p w14:paraId="21EE5EC5">
            <w:pPr>
              <w:spacing w:line="320" w:lineRule="exact"/>
              <w:rPr>
                <w:rFonts w:ascii="仿宋" w:hAnsi="仿宋" w:eastAsia="仿宋"/>
                <w:b w:val="0"/>
                <w:bCs/>
                <w:szCs w:val="21"/>
              </w:rPr>
            </w:pPr>
          </w:p>
        </w:tc>
      </w:tr>
      <w:tr w14:paraId="24662A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07" w:hRule="atLeast"/>
        </w:trPr>
        <w:tc>
          <w:tcPr>
            <w:tcW w:w="633" w:type="dxa"/>
            <w:vMerge w:val="restart"/>
          </w:tcPr>
          <w:p w14:paraId="26974668">
            <w:pPr>
              <w:spacing w:line="320" w:lineRule="exact"/>
              <w:rPr>
                <w:rFonts w:hint="default" w:ascii="仿宋" w:hAnsi="仿宋" w:eastAsia="仿宋"/>
                <w:b w:val="0"/>
                <w:bCs/>
                <w:szCs w:val="21"/>
                <w:lang w:val="en-US" w:eastAsia="zh-CN"/>
              </w:rPr>
            </w:pPr>
            <w:r>
              <w:rPr>
                <w:rFonts w:hint="eastAsia" w:ascii="仿宋" w:hAnsi="仿宋" w:eastAsia="仿宋"/>
                <w:b w:val="0"/>
                <w:bCs/>
                <w:szCs w:val="21"/>
                <w:lang w:val="en-US" w:eastAsia="zh-CN"/>
              </w:rPr>
              <w:t>3、</w:t>
            </w:r>
          </w:p>
        </w:tc>
        <w:tc>
          <w:tcPr>
            <w:tcW w:w="1198" w:type="dxa"/>
            <w:vMerge w:val="restart"/>
          </w:tcPr>
          <w:p w14:paraId="169E33BC">
            <w:pPr>
              <w:spacing w:line="320" w:lineRule="exact"/>
              <w:rPr>
                <w:rFonts w:hint="default" w:ascii="仿宋" w:hAnsi="仿宋" w:eastAsia="仿宋"/>
                <w:b/>
                <w:bCs w:val="0"/>
                <w:sz w:val="24"/>
                <w:szCs w:val="24"/>
                <w:lang w:val="en-US" w:eastAsia="zh-CN"/>
              </w:rPr>
            </w:pPr>
            <w:r>
              <w:rPr>
                <w:rFonts w:hint="eastAsia" w:ascii="仿宋" w:hAnsi="仿宋" w:eastAsia="仿宋"/>
                <w:b/>
                <w:bCs w:val="0"/>
                <w:sz w:val="24"/>
                <w:szCs w:val="24"/>
                <w:lang w:val="en-US" w:eastAsia="zh-CN"/>
              </w:rPr>
              <w:t>三、服务内容与要求</w:t>
            </w:r>
          </w:p>
        </w:tc>
        <w:tc>
          <w:tcPr>
            <w:tcW w:w="3395" w:type="dxa"/>
          </w:tcPr>
          <w:p w14:paraId="6FF5800D">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 w:hAnsi="仿宋" w:eastAsia="仿宋" w:cs="仿宋"/>
                <w:b w:val="0"/>
                <w:bCs/>
                <w:kern w:val="2"/>
                <w:sz w:val="21"/>
                <w:szCs w:val="21"/>
                <w:lang w:val="en-US" w:eastAsia="zh-CN" w:bidi="ar-SA"/>
              </w:rPr>
            </w:pPr>
            <w:r>
              <w:rPr>
                <w:rFonts w:hint="eastAsia" w:ascii="仿宋" w:hAnsi="仿宋" w:eastAsia="仿宋" w:cs="仿宋"/>
                <w:b w:val="0"/>
                <w:bCs/>
                <w:kern w:val="2"/>
                <w:sz w:val="21"/>
                <w:szCs w:val="21"/>
                <w:lang w:val="en-US" w:eastAsia="zh-CN" w:bidi="ar-SA"/>
              </w:rPr>
              <w:t>1.供应商需为精神科病人提供早、中、晚三餐，同时负责将餐品按时配送至采购方指定地点，并负责摆放、分装，餐后垃圾由供应商统一清理。(精神科住院病人90人左右)</w:t>
            </w:r>
          </w:p>
          <w:p w14:paraId="52728B17">
            <w:pPr>
              <w:numPr>
                <w:ilvl w:val="0"/>
                <w:numId w:val="0"/>
              </w:numPr>
              <w:jc w:val="both"/>
              <w:rPr>
                <w:rFonts w:hint="eastAsia" w:ascii="仿宋" w:hAnsi="仿宋" w:eastAsia="仿宋" w:cs="仿宋"/>
                <w:b/>
                <w:bCs w:val="0"/>
                <w:kern w:val="2"/>
                <w:sz w:val="21"/>
                <w:szCs w:val="21"/>
                <w:lang w:val="en-US" w:eastAsia="zh-CN" w:bidi="ar-SA"/>
              </w:rPr>
            </w:pPr>
            <w:r>
              <w:rPr>
                <w:rFonts w:hint="eastAsia" w:ascii="仿宋" w:hAnsi="仿宋" w:eastAsia="仿宋" w:cs="仿宋"/>
                <w:b/>
                <w:bCs w:val="0"/>
                <w:kern w:val="2"/>
                <w:sz w:val="21"/>
                <w:szCs w:val="21"/>
                <w:lang w:val="en-US" w:eastAsia="zh-CN" w:bidi="ar-SA"/>
              </w:rPr>
              <w:t>早餐:主食(馒头/花卷等)+鸡蛋+粥类+时令爽口小菜</w:t>
            </w:r>
          </w:p>
          <w:p w14:paraId="0F449748">
            <w:pPr>
              <w:numPr>
                <w:ilvl w:val="0"/>
                <w:numId w:val="0"/>
              </w:numPr>
              <w:jc w:val="both"/>
              <w:rPr>
                <w:rFonts w:hint="eastAsia" w:ascii="仿宋" w:hAnsi="仿宋" w:eastAsia="仿宋" w:cs="仿宋"/>
                <w:b/>
                <w:bCs w:val="0"/>
                <w:kern w:val="2"/>
                <w:sz w:val="21"/>
                <w:szCs w:val="21"/>
                <w:lang w:val="en-US" w:eastAsia="zh-CN" w:bidi="ar-SA"/>
              </w:rPr>
            </w:pPr>
            <w:r>
              <w:rPr>
                <w:rFonts w:hint="eastAsia" w:ascii="仿宋" w:hAnsi="仿宋" w:eastAsia="仿宋" w:cs="仿宋"/>
                <w:b/>
                <w:bCs w:val="0"/>
                <w:kern w:val="2"/>
                <w:sz w:val="21"/>
                <w:szCs w:val="21"/>
                <w:lang w:val="en-US" w:eastAsia="zh-CN" w:bidi="ar-SA"/>
              </w:rPr>
              <w:t>午餐:主食(白米饭/面条)+1荤+1素+炖鸡蛋</w:t>
            </w:r>
          </w:p>
          <w:p w14:paraId="494986AD">
            <w:pPr>
              <w:numPr>
                <w:ilvl w:val="0"/>
                <w:numId w:val="0"/>
              </w:numPr>
              <w:jc w:val="both"/>
              <w:rPr>
                <w:rFonts w:hint="eastAsia" w:ascii="仿宋" w:hAnsi="仿宋" w:eastAsia="仿宋" w:cs="仿宋"/>
                <w:b/>
                <w:bCs w:val="0"/>
                <w:kern w:val="2"/>
                <w:sz w:val="21"/>
                <w:szCs w:val="21"/>
                <w:lang w:val="en-US" w:eastAsia="zh-CN" w:bidi="ar-SA"/>
              </w:rPr>
            </w:pPr>
            <w:r>
              <w:rPr>
                <w:rFonts w:hint="eastAsia" w:ascii="仿宋" w:hAnsi="仿宋" w:eastAsia="仿宋" w:cs="仿宋"/>
                <w:b/>
                <w:bCs w:val="0"/>
                <w:kern w:val="2"/>
                <w:sz w:val="21"/>
                <w:szCs w:val="21"/>
                <w:lang w:val="en-US" w:eastAsia="zh-CN" w:bidi="ar-SA"/>
              </w:rPr>
              <w:t>晚餐:标准同中餐</w:t>
            </w:r>
          </w:p>
          <w:p w14:paraId="444B624B">
            <w:pPr>
              <w:numPr>
                <w:ilvl w:val="0"/>
                <w:numId w:val="0"/>
              </w:numPr>
              <w:jc w:val="both"/>
              <w:rPr>
                <w:rFonts w:hint="eastAsia" w:ascii="仿宋" w:hAnsi="仿宋" w:eastAsia="仿宋" w:cs="仿宋"/>
                <w:b/>
                <w:bCs w:val="0"/>
                <w:kern w:val="2"/>
                <w:sz w:val="21"/>
                <w:szCs w:val="21"/>
                <w:lang w:val="en-US" w:eastAsia="zh-CN" w:bidi="ar-SA"/>
              </w:rPr>
            </w:pPr>
            <w:r>
              <w:rPr>
                <w:rFonts w:hint="eastAsia" w:ascii="仿宋" w:hAnsi="仿宋" w:eastAsia="仿宋" w:cs="仿宋"/>
                <w:b/>
                <w:bCs w:val="0"/>
                <w:kern w:val="2"/>
                <w:sz w:val="21"/>
                <w:szCs w:val="21"/>
                <w:lang w:val="en-US" w:eastAsia="zh-CN" w:bidi="ar-SA"/>
              </w:rPr>
              <w:t>餐标为17元/人/日</w:t>
            </w:r>
          </w:p>
          <w:p w14:paraId="4708BFB5">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 w:hAnsi="仿宋" w:eastAsia="仿宋" w:cs="仿宋"/>
                <w:b w:val="0"/>
                <w:bCs/>
                <w:kern w:val="2"/>
                <w:sz w:val="21"/>
                <w:szCs w:val="21"/>
                <w:lang w:val="en-US" w:eastAsia="zh-CN" w:bidi="ar-SA"/>
              </w:rPr>
            </w:pPr>
            <w:r>
              <w:rPr>
                <w:rFonts w:hint="eastAsia" w:ascii="仿宋" w:hAnsi="仿宋" w:eastAsia="仿宋" w:cs="仿宋"/>
                <w:b w:val="0"/>
                <w:bCs/>
                <w:kern w:val="2"/>
                <w:sz w:val="21"/>
                <w:szCs w:val="21"/>
                <w:lang w:val="en-US" w:eastAsia="zh-CN" w:bidi="ar-SA"/>
              </w:rPr>
              <w:t>供应商还需满足精神科病人其他特殊用餐需求(忌口/素食/额外加餐等)。同时每日菜单需经采购人审核同意并保持菜单与实际菜品一致。</w:t>
            </w:r>
          </w:p>
          <w:p w14:paraId="6F0C1391">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 w:hAnsi="仿宋" w:eastAsia="仿宋" w:cs="仿宋"/>
                <w:b w:val="0"/>
                <w:bCs/>
                <w:kern w:val="2"/>
                <w:sz w:val="21"/>
                <w:szCs w:val="21"/>
                <w:lang w:val="en-US" w:eastAsia="zh-CN" w:bidi="ar-SA"/>
              </w:rPr>
            </w:pPr>
          </w:p>
        </w:tc>
        <w:tc>
          <w:tcPr>
            <w:tcW w:w="835" w:type="dxa"/>
          </w:tcPr>
          <w:p w14:paraId="69F71C79">
            <w:pPr>
              <w:spacing w:line="320" w:lineRule="exact"/>
              <w:rPr>
                <w:rFonts w:ascii="仿宋" w:hAnsi="仿宋" w:eastAsia="仿宋"/>
                <w:b w:val="0"/>
                <w:bCs/>
                <w:szCs w:val="21"/>
              </w:rPr>
            </w:pPr>
          </w:p>
        </w:tc>
        <w:tc>
          <w:tcPr>
            <w:tcW w:w="1275" w:type="dxa"/>
          </w:tcPr>
          <w:p w14:paraId="4386C64C">
            <w:pPr>
              <w:spacing w:line="320" w:lineRule="exact"/>
              <w:rPr>
                <w:rFonts w:hint="eastAsia" w:ascii="仿宋" w:hAnsi="仿宋" w:eastAsia="仿宋"/>
                <w:b w:val="0"/>
                <w:bCs/>
                <w:szCs w:val="21"/>
                <w:lang w:val="en-US" w:eastAsia="zh-CN"/>
              </w:rPr>
            </w:pPr>
          </w:p>
        </w:tc>
        <w:tc>
          <w:tcPr>
            <w:tcW w:w="2082" w:type="dxa"/>
          </w:tcPr>
          <w:p w14:paraId="12EEB00A">
            <w:pPr>
              <w:spacing w:line="320" w:lineRule="exact"/>
              <w:rPr>
                <w:rFonts w:ascii="仿宋" w:hAnsi="仿宋" w:eastAsia="仿宋"/>
                <w:b w:val="0"/>
                <w:bCs/>
                <w:szCs w:val="21"/>
              </w:rPr>
            </w:pPr>
          </w:p>
        </w:tc>
      </w:tr>
      <w:tr w14:paraId="5FCFA8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9" w:hRule="atLeast"/>
        </w:trPr>
        <w:tc>
          <w:tcPr>
            <w:tcW w:w="633" w:type="dxa"/>
            <w:vMerge w:val="continue"/>
          </w:tcPr>
          <w:p w14:paraId="143A587F">
            <w:pPr>
              <w:spacing w:line="320" w:lineRule="exact"/>
              <w:rPr>
                <w:rFonts w:hint="eastAsia" w:ascii="仿宋" w:hAnsi="仿宋" w:eastAsia="仿宋"/>
                <w:b w:val="0"/>
                <w:bCs/>
                <w:szCs w:val="21"/>
                <w:lang w:val="en-US" w:eastAsia="zh-CN"/>
              </w:rPr>
            </w:pPr>
          </w:p>
        </w:tc>
        <w:tc>
          <w:tcPr>
            <w:tcW w:w="1198" w:type="dxa"/>
            <w:vMerge w:val="continue"/>
          </w:tcPr>
          <w:p w14:paraId="0F4FEC02">
            <w:pPr>
              <w:spacing w:line="320" w:lineRule="exact"/>
              <w:rPr>
                <w:rFonts w:hint="eastAsia" w:ascii="仿宋" w:hAnsi="仿宋" w:eastAsia="仿宋"/>
                <w:b/>
                <w:bCs w:val="0"/>
                <w:sz w:val="24"/>
                <w:szCs w:val="24"/>
                <w:lang w:val="en-US" w:eastAsia="zh-CN"/>
              </w:rPr>
            </w:pPr>
          </w:p>
        </w:tc>
        <w:tc>
          <w:tcPr>
            <w:tcW w:w="3395" w:type="dxa"/>
          </w:tcPr>
          <w:p w14:paraId="6DBD5BEF">
            <w:pPr>
              <w:numPr>
                <w:ilvl w:val="0"/>
                <w:numId w:val="0"/>
              </w:numPr>
              <w:jc w:val="both"/>
              <w:rPr>
                <w:rFonts w:hint="default" w:ascii="仿宋" w:hAnsi="仿宋" w:eastAsia="仿宋" w:cs="仿宋"/>
                <w:b w:val="0"/>
                <w:bCs/>
                <w:kern w:val="2"/>
                <w:sz w:val="21"/>
                <w:szCs w:val="21"/>
                <w:lang w:val="en-US" w:eastAsia="zh-CN" w:bidi="ar-SA"/>
              </w:rPr>
            </w:pPr>
            <w:r>
              <w:rPr>
                <w:rFonts w:hint="eastAsia" w:ascii="仿宋" w:hAnsi="仿宋" w:eastAsia="仿宋" w:cs="仿宋"/>
                <w:b w:val="0"/>
                <w:bCs/>
                <w:kern w:val="2"/>
                <w:sz w:val="21"/>
                <w:szCs w:val="21"/>
                <w:lang w:val="en-US" w:eastAsia="zh-CN" w:bidi="ar-SA"/>
              </w:rPr>
              <w:t>供应商需为血透室、手术室等科室提供盒饭套餐，同时负责将餐品按时配送至采购方指定地点，并负责摆放、分装。(血透室、手术室每日盒饭数量约为15份)</w:t>
            </w:r>
          </w:p>
          <w:p w14:paraId="2FB2C0D9">
            <w:pPr>
              <w:numPr>
                <w:ilvl w:val="0"/>
                <w:numId w:val="0"/>
              </w:numPr>
              <w:jc w:val="both"/>
              <w:rPr>
                <w:rFonts w:hint="default" w:ascii="仿宋" w:hAnsi="仿宋" w:eastAsia="仿宋" w:cs="仿宋"/>
                <w:b/>
                <w:bCs w:val="0"/>
                <w:kern w:val="2"/>
                <w:sz w:val="21"/>
                <w:szCs w:val="21"/>
                <w:lang w:val="en-US" w:eastAsia="zh-CN" w:bidi="ar-SA"/>
              </w:rPr>
            </w:pPr>
            <w:r>
              <w:rPr>
                <w:rFonts w:hint="eastAsia" w:ascii="仿宋" w:hAnsi="仿宋" w:eastAsia="仿宋" w:cs="仿宋"/>
                <w:b/>
                <w:bCs w:val="0"/>
                <w:kern w:val="2"/>
                <w:sz w:val="21"/>
                <w:szCs w:val="21"/>
                <w:lang w:val="en-US" w:eastAsia="zh-CN" w:bidi="ar-SA"/>
              </w:rPr>
              <w:t>套餐类型:中餐</w:t>
            </w:r>
          </w:p>
          <w:p w14:paraId="4059EDDF">
            <w:pPr>
              <w:numPr>
                <w:ilvl w:val="0"/>
                <w:numId w:val="0"/>
              </w:numPr>
              <w:jc w:val="both"/>
              <w:rPr>
                <w:rFonts w:hint="eastAsia" w:ascii="仿宋" w:hAnsi="仿宋" w:eastAsia="仿宋" w:cs="仿宋"/>
                <w:b/>
                <w:bCs w:val="0"/>
                <w:kern w:val="2"/>
                <w:sz w:val="21"/>
                <w:szCs w:val="21"/>
                <w:lang w:val="en-US" w:eastAsia="zh-CN" w:bidi="ar-SA"/>
              </w:rPr>
            </w:pPr>
            <w:r>
              <w:rPr>
                <w:rFonts w:hint="eastAsia" w:ascii="仿宋" w:hAnsi="仿宋" w:eastAsia="仿宋" w:cs="仿宋"/>
                <w:b/>
                <w:bCs w:val="0"/>
                <w:kern w:val="2"/>
                <w:sz w:val="21"/>
                <w:szCs w:val="21"/>
                <w:lang w:val="en-US" w:eastAsia="zh-CN" w:bidi="ar-SA"/>
              </w:rPr>
              <w:t>套餐标准:2荤+2素+足量米饭</w:t>
            </w:r>
          </w:p>
          <w:p w14:paraId="493E1597">
            <w:pPr>
              <w:numPr>
                <w:ilvl w:val="0"/>
                <w:numId w:val="0"/>
              </w:numPr>
              <w:jc w:val="both"/>
              <w:rPr>
                <w:rFonts w:hint="default" w:ascii="仿宋" w:hAnsi="仿宋" w:eastAsia="仿宋" w:cs="仿宋"/>
                <w:b/>
                <w:bCs w:val="0"/>
                <w:kern w:val="2"/>
                <w:sz w:val="21"/>
                <w:szCs w:val="21"/>
                <w:lang w:val="en-US" w:eastAsia="zh-CN" w:bidi="ar-SA"/>
              </w:rPr>
            </w:pPr>
            <w:r>
              <w:rPr>
                <w:rFonts w:hint="eastAsia" w:ascii="仿宋" w:hAnsi="仿宋" w:eastAsia="仿宋" w:cs="仿宋"/>
                <w:b/>
                <w:bCs w:val="0"/>
                <w:kern w:val="2"/>
                <w:sz w:val="21"/>
                <w:szCs w:val="21"/>
                <w:lang w:val="en-US" w:eastAsia="zh-CN" w:bidi="ar-SA"/>
              </w:rPr>
              <w:t>餐标为15元/份</w:t>
            </w:r>
          </w:p>
          <w:p w14:paraId="53ABDCF2">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b w:val="0"/>
                <w:bCs/>
                <w:kern w:val="2"/>
                <w:sz w:val="21"/>
                <w:szCs w:val="21"/>
                <w:lang w:val="en-US" w:eastAsia="zh-CN" w:bidi="ar-SA"/>
              </w:rPr>
            </w:pPr>
          </w:p>
        </w:tc>
        <w:tc>
          <w:tcPr>
            <w:tcW w:w="835" w:type="dxa"/>
          </w:tcPr>
          <w:p w14:paraId="7B556F8F">
            <w:pPr>
              <w:spacing w:line="320" w:lineRule="exact"/>
              <w:rPr>
                <w:rFonts w:ascii="仿宋" w:hAnsi="仿宋" w:eastAsia="仿宋"/>
                <w:b w:val="0"/>
                <w:bCs/>
                <w:szCs w:val="21"/>
              </w:rPr>
            </w:pPr>
          </w:p>
        </w:tc>
        <w:tc>
          <w:tcPr>
            <w:tcW w:w="1275" w:type="dxa"/>
          </w:tcPr>
          <w:p w14:paraId="28A0B5C1">
            <w:pPr>
              <w:spacing w:line="320" w:lineRule="exact"/>
              <w:rPr>
                <w:rFonts w:hint="eastAsia" w:ascii="仿宋" w:hAnsi="仿宋" w:eastAsia="仿宋"/>
                <w:b w:val="0"/>
                <w:bCs/>
                <w:szCs w:val="21"/>
                <w:lang w:val="en-US" w:eastAsia="zh-CN"/>
              </w:rPr>
            </w:pPr>
          </w:p>
        </w:tc>
        <w:tc>
          <w:tcPr>
            <w:tcW w:w="2082" w:type="dxa"/>
          </w:tcPr>
          <w:p w14:paraId="7B387C26">
            <w:pPr>
              <w:spacing w:line="320" w:lineRule="exact"/>
              <w:rPr>
                <w:rFonts w:ascii="仿宋" w:hAnsi="仿宋" w:eastAsia="仿宋"/>
                <w:b w:val="0"/>
                <w:bCs/>
                <w:szCs w:val="21"/>
              </w:rPr>
            </w:pPr>
          </w:p>
        </w:tc>
      </w:tr>
      <w:tr w14:paraId="4AE24F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9" w:hRule="atLeast"/>
        </w:trPr>
        <w:tc>
          <w:tcPr>
            <w:tcW w:w="633" w:type="dxa"/>
            <w:vMerge w:val="continue"/>
          </w:tcPr>
          <w:p w14:paraId="56C34382">
            <w:pPr>
              <w:spacing w:line="320" w:lineRule="exact"/>
              <w:rPr>
                <w:rFonts w:hint="eastAsia" w:ascii="仿宋" w:hAnsi="仿宋" w:eastAsia="仿宋"/>
                <w:b w:val="0"/>
                <w:bCs/>
                <w:szCs w:val="21"/>
                <w:lang w:val="en-US" w:eastAsia="zh-CN"/>
              </w:rPr>
            </w:pPr>
          </w:p>
        </w:tc>
        <w:tc>
          <w:tcPr>
            <w:tcW w:w="1198" w:type="dxa"/>
            <w:vMerge w:val="continue"/>
          </w:tcPr>
          <w:p w14:paraId="468B05DD">
            <w:pPr>
              <w:spacing w:line="320" w:lineRule="exact"/>
              <w:rPr>
                <w:rFonts w:hint="eastAsia" w:ascii="仿宋" w:hAnsi="仿宋" w:eastAsia="仿宋"/>
                <w:b/>
                <w:bCs w:val="0"/>
                <w:sz w:val="24"/>
                <w:szCs w:val="24"/>
                <w:lang w:val="en-US" w:eastAsia="zh-CN"/>
              </w:rPr>
            </w:pPr>
          </w:p>
        </w:tc>
        <w:tc>
          <w:tcPr>
            <w:tcW w:w="3395" w:type="dxa"/>
          </w:tcPr>
          <w:p w14:paraId="7377E514">
            <w:pPr>
              <w:pStyle w:val="19"/>
              <w:numPr>
                <w:ilvl w:val="0"/>
                <w:numId w:val="0"/>
              </w:numPr>
              <w:ind w:leftChars="0"/>
              <w:rPr>
                <w:rFonts w:hint="default" w:ascii="仿宋" w:hAnsi="仿宋" w:eastAsia="仿宋" w:cs="仿宋"/>
                <w:b w:val="0"/>
                <w:bCs/>
                <w:kern w:val="2"/>
                <w:sz w:val="21"/>
                <w:szCs w:val="21"/>
                <w:lang w:val="en-US" w:eastAsia="zh-CN" w:bidi="ar-SA"/>
              </w:rPr>
            </w:pPr>
            <w:r>
              <w:rPr>
                <w:rFonts w:hint="eastAsia" w:ascii="仿宋" w:hAnsi="仿宋" w:eastAsia="仿宋" w:cs="仿宋"/>
                <w:b w:val="0"/>
                <w:bCs/>
                <w:kern w:val="2"/>
                <w:sz w:val="21"/>
                <w:szCs w:val="21"/>
                <w:lang w:val="en-US" w:eastAsia="zh-CN" w:bidi="ar-SA"/>
              </w:rPr>
              <w:t>3.供应商需为其他在院职工、病人提供早、中、晚餐。早餐应包含主食、蛋类、饮品等，午晚餐实行荤素搭配、营养均衡，每餐不得少于4道素菜、4道荤菜、汤品、主食。所有菜品需明码标价、公示。(在院职工135人，除精神科外住院病人80人左右，每日门诊数量约为120人)</w:t>
            </w:r>
          </w:p>
        </w:tc>
        <w:tc>
          <w:tcPr>
            <w:tcW w:w="835" w:type="dxa"/>
          </w:tcPr>
          <w:p w14:paraId="4D53C8E5">
            <w:pPr>
              <w:spacing w:line="320" w:lineRule="exact"/>
              <w:rPr>
                <w:rFonts w:ascii="仿宋" w:hAnsi="仿宋" w:eastAsia="仿宋"/>
                <w:b w:val="0"/>
                <w:bCs/>
                <w:szCs w:val="21"/>
              </w:rPr>
            </w:pPr>
          </w:p>
        </w:tc>
        <w:tc>
          <w:tcPr>
            <w:tcW w:w="1275" w:type="dxa"/>
          </w:tcPr>
          <w:p w14:paraId="2EF34A90">
            <w:pPr>
              <w:spacing w:line="320" w:lineRule="exact"/>
              <w:rPr>
                <w:rFonts w:hint="eastAsia" w:ascii="仿宋" w:hAnsi="仿宋" w:eastAsia="仿宋"/>
                <w:b w:val="0"/>
                <w:bCs/>
                <w:szCs w:val="21"/>
                <w:lang w:val="en-US" w:eastAsia="zh-CN"/>
              </w:rPr>
            </w:pPr>
          </w:p>
        </w:tc>
        <w:tc>
          <w:tcPr>
            <w:tcW w:w="2082" w:type="dxa"/>
          </w:tcPr>
          <w:p w14:paraId="0FE38A68">
            <w:pPr>
              <w:spacing w:line="320" w:lineRule="exact"/>
              <w:rPr>
                <w:rFonts w:ascii="仿宋" w:hAnsi="仿宋" w:eastAsia="仿宋"/>
                <w:b w:val="0"/>
                <w:bCs/>
                <w:szCs w:val="21"/>
              </w:rPr>
            </w:pPr>
          </w:p>
        </w:tc>
      </w:tr>
      <w:tr w14:paraId="55AAA3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9" w:hRule="atLeast"/>
        </w:trPr>
        <w:tc>
          <w:tcPr>
            <w:tcW w:w="633" w:type="dxa"/>
            <w:vMerge w:val="continue"/>
          </w:tcPr>
          <w:p w14:paraId="77EB19F7">
            <w:pPr>
              <w:spacing w:line="320" w:lineRule="exact"/>
              <w:rPr>
                <w:rFonts w:hint="eastAsia" w:ascii="仿宋" w:hAnsi="仿宋" w:eastAsia="仿宋"/>
                <w:b w:val="0"/>
                <w:bCs/>
                <w:szCs w:val="21"/>
                <w:lang w:val="en-US" w:eastAsia="zh-CN"/>
              </w:rPr>
            </w:pPr>
          </w:p>
        </w:tc>
        <w:tc>
          <w:tcPr>
            <w:tcW w:w="1198" w:type="dxa"/>
            <w:vMerge w:val="continue"/>
          </w:tcPr>
          <w:p w14:paraId="1EDC1EAB">
            <w:pPr>
              <w:spacing w:line="320" w:lineRule="exact"/>
              <w:rPr>
                <w:rFonts w:hint="eastAsia" w:ascii="仿宋" w:hAnsi="仿宋" w:eastAsia="仿宋"/>
                <w:b/>
                <w:bCs w:val="0"/>
                <w:sz w:val="24"/>
                <w:szCs w:val="24"/>
                <w:lang w:val="en-US" w:eastAsia="zh-CN"/>
              </w:rPr>
            </w:pPr>
          </w:p>
        </w:tc>
        <w:tc>
          <w:tcPr>
            <w:tcW w:w="3395" w:type="dxa"/>
          </w:tcPr>
          <w:p w14:paraId="127B5D28">
            <w:pPr>
              <w:keepNext w:val="0"/>
              <w:keepLines w:val="0"/>
              <w:widowControl/>
              <w:suppressLineNumbers w:val="0"/>
              <w:jc w:val="left"/>
              <w:rPr>
                <w:rFonts w:hint="default" w:ascii="宋体" w:hAnsi="宋体" w:eastAsia="宋体" w:cs="宋体"/>
                <w:sz w:val="28"/>
                <w:szCs w:val="28"/>
                <w:u w:val="none"/>
                <w:lang w:val="en-US" w:eastAsia="zh-CN"/>
              </w:rPr>
            </w:pPr>
            <w:r>
              <w:rPr>
                <w:rFonts w:hint="eastAsia" w:ascii="仿宋" w:hAnsi="仿宋" w:eastAsia="仿宋" w:cs="仿宋"/>
                <w:b w:val="0"/>
                <w:bCs/>
                <w:kern w:val="2"/>
                <w:sz w:val="21"/>
                <w:szCs w:val="21"/>
                <w:lang w:val="en-US" w:eastAsia="zh-CN" w:bidi="ar-SA"/>
              </w:rPr>
              <w:t>4.服务要求:供应商须严格执行国家食品卫生及安全法律法规要求和有关部门对餐饮业的各项规定，合理、守法经营。建立健全食材采购、食品加工、餐具消毒、食品留样管理制度。每餐成品须按规范留样，留存时间不少于 48 小时，便于出现问题时溯源核查。经营期间，确保无事故发生，如因成交供应商原因造成采购人的人员食物中毒、火灾等安全事故发生，所有的法律责任和经济损失由成交供应商负责。成交供应商负责原材料采购验收、加工制作、备餐、订送餐、卫生保洁、食品卫生和安全生产等，并积极配合采购人做好职工餐、会议餐安排及患者治疗饮食设计、制作和配送。采购人根据市场调研情况对成交供应商售卖菜肴等价格具有干预权。服务期间，成交供应商所需的食物原材料必须渠道正规，质量合格，须有相应的许可证件，并对所采购的原料负责，采购人对食物原材料具有监督权。成交供应商必须严格执行安全生产相关制度，定期对员工进行食品安全和安全生产培训，做到每日安全巡查、记录，落实安全生产责任制，定期接受采购人的检查，如因成交供应商管理不善而导致的食品、消防安全等安全生产事故，全部责任由成交供应商承担。</w:t>
            </w:r>
            <w:r>
              <w:rPr>
                <w:rFonts w:hint="eastAsia" w:ascii="仿宋" w:hAnsi="仿宋" w:eastAsia="仿宋" w:cs="仿宋"/>
                <w:b/>
                <w:bCs w:val="0"/>
                <w:kern w:val="2"/>
                <w:sz w:val="21"/>
                <w:szCs w:val="21"/>
                <w:lang w:val="en-US" w:eastAsia="zh-CN" w:bidi="ar-SA"/>
              </w:rPr>
              <w:t>成交供应商必须是自行提供服务，不得将食堂经营管理项目进行任何形式的分包、转包，不得无理由停止或拒绝供餐。</w:t>
            </w:r>
          </w:p>
          <w:p w14:paraId="78659D13">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b w:val="0"/>
                <w:bCs/>
                <w:kern w:val="2"/>
                <w:sz w:val="21"/>
                <w:szCs w:val="21"/>
                <w:lang w:val="en-US" w:eastAsia="zh-CN" w:bidi="ar-SA"/>
              </w:rPr>
            </w:pPr>
          </w:p>
        </w:tc>
        <w:tc>
          <w:tcPr>
            <w:tcW w:w="835" w:type="dxa"/>
          </w:tcPr>
          <w:p w14:paraId="1D842840">
            <w:pPr>
              <w:spacing w:line="320" w:lineRule="exact"/>
              <w:rPr>
                <w:rFonts w:ascii="仿宋" w:hAnsi="仿宋" w:eastAsia="仿宋"/>
                <w:b w:val="0"/>
                <w:bCs/>
                <w:szCs w:val="21"/>
              </w:rPr>
            </w:pPr>
          </w:p>
        </w:tc>
        <w:tc>
          <w:tcPr>
            <w:tcW w:w="1275" w:type="dxa"/>
          </w:tcPr>
          <w:p w14:paraId="16C12615">
            <w:pPr>
              <w:spacing w:line="320" w:lineRule="exact"/>
              <w:rPr>
                <w:rFonts w:hint="eastAsia" w:ascii="仿宋" w:hAnsi="仿宋" w:eastAsia="仿宋"/>
                <w:b w:val="0"/>
                <w:bCs/>
                <w:szCs w:val="21"/>
                <w:lang w:val="en-US" w:eastAsia="zh-CN"/>
              </w:rPr>
            </w:pPr>
          </w:p>
        </w:tc>
        <w:tc>
          <w:tcPr>
            <w:tcW w:w="2082" w:type="dxa"/>
          </w:tcPr>
          <w:p w14:paraId="09C60274">
            <w:pPr>
              <w:spacing w:line="320" w:lineRule="exact"/>
              <w:rPr>
                <w:rFonts w:ascii="仿宋" w:hAnsi="仿宋" w:eastAsia="仿宋"/>
                <w:b w:val="0"/>
                <w:bCs/>
                <w:szCs w:val="21"/>
              </w:rPr>
            </w:pPr>
          </w:p>
        </w:tc>
      </w:tr>
      <w:tr w14:paraId="2FE97D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92" w:hRule="atLeast"/>
        </w:trPr>
        <w:tc>
          <w:tcPr>
            <w:tcW w:w="633" w:type="dxa"/>
          </w:tcPr>
          <w:p w14:paraId="66925610">
            <w:pPr>
              <w:spacing w:line="320" w:lineRule="exact"/>
              <w:rPr>
                <w:rFonts w:hint="default" w:ascii="仿宋" w:hAnsi="仿宋" w:eastAsia="仿宋"/>
                <w:b w:val="0"/>
                <w:bCs/>
                <w:szCs w:val="21"/>
                <w:lang w:val="en-US" w:eastAsia="zh-CN"/>
              </w:rPr>
            </w:pPr>
            <w:r>
              <w:rPr>
                <w:rFonts w:hint="eastAsia" w:ascii="仿宋" w:hAnsi="仿宋" w:eastAsia="仿宋"/>
                <w:b w:val="0"/>
                <w:bCs/>
                <w:szCs w:val="21"/>
                <w:lang w:val="en-US" w:eastAsia="zh-CN"/>
              </w:rPr>
              <w:t>4、</w:t>
            </w:r>
          </w:p>
        </w:tc>
        <w:tc>
          <w:tcPr>
            <w:tcW w:w="1198" w:type="dxa"/>
          </w:tcPr>
          <w:p w14:paraId="6713279A">
            <w:pPr>
              <w:spacing w:line="320" w:lineRule="exact"/>
              <w:rPr>
                <w:rFonts w:hint="default" w:ascii="仿宋" w:hAnsi="仿宋" w:eastAsia="仿宋"/>
                <w:b/>
                <w:bCs w:val="0"/>
                <w:sz w:val="24"/>
                <w:szCs w:val="24"/>
                <w:lang w:val="en-US" w:eastAsia="zh-CN"/>
              </w:rPr>
            </w:pPr>
            <w:r>
              <w:rPr>
                <w:rFonts w:hint="eastAsia" w:ascii="仿宋" w:hAnsi="仿宋" w:eastAsia="仿宋"/>
                <w:b/>
                <w:bCs w:val="0"/>
                <w:sz w:val="24"/>
                <w:szCs w:val="24"/>
                <w:lang w:val="en-US" w:eastAsia="zh-CN"/>
              </w:rPr>
              <w:t>四、扶持保障方案</w:t>
            </w:r>
          </w:p>
        </w:tc>
        <w:tc>
          <w:tcPr>
            <w:tcW w:w="3395" w:type="dxa"/>
          </w:tcPr>
          <w:p w14:paraId="68B8CDBC">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 w:hAnsi="仿宋" w:eastAsia="仿宋" w:cs="仿宋"/>
                <w:b w:val="0"/>
                <w:bCs/>
                <w:kern w:val="2"/>
                <w:sz w:val="21"/>
                <w:szCs w:val="21"/>
                <w:lang w:val="en-US" w:eastAsia="zh-CN" w:bidi="ar-SA"/>
              </w:rPr>
            </w:pPr>
            <w:r>
              <w:rPr>
                <w:rFonts w:hint="eastAsia" w:ascii="仿宋" w:hAnsi="仿宋" w:eastAsia="仿宋" w:cs="仿宋"/>
                <w:b/>
                <w:bCs w:val="0"/>
                <w:kern w:val="2"/>
                <w:sz w:val="21"/>
                <w:szCs w:val="21"/>
                <w:lang w:val="en-US" w:eastAsia="zh-CN" w:bidi="ar-SA"/>
              </w:rPr>
              <w:t>医院拟为每位职工充值就餐卡，额度为每人每月300元。就餐卡每日消费上限为30元，每月月底清零。为供应商营业额度提供保障。(费用据实结算)</w:t>
            </w:r>
          </w:p>
        </w:tc>
        <w:tc>
          <w:tcPr>
            <w:tcW w:w="835" w:type="dxa"/>
          </w:tcPr>
          <w:p w14:paraId="3AD1E1BC">
            <w:pPr>
              <w:spacing w:line="320" w:lineRule="exact"/>
              <w:rPr>
                <w:rFonts w:ascii="仿宋" w:hAnsi="仿宋" w:eastAsia="仿宋"/>
                <w:b w:val="0"/>
                <w:bCs/>
                <w:szCs w:val="21"/>
              </w:rPr>
            </w:pPr>
          </w:p>
        </w:tc>
        <w:tc>
          <w:tcPr>
            <w:tcW w:w="1275" w:type="dxa"/>
          </w:tcPr>
          <w:p w14:paraId="6C5EFECB">
            <w:pPr>
              <w:spacing w:line="320" w:lineRule="exact"/>
              <w:rPr>
                <w:rFonts w:hint="eastAsia" w:ascii="仿宋" w:hAnsi="仿宋" w:eastAsia="仿宋"/>
                <w:b w:val="0"/>
                <w:bCs/>
                <w:szCs w:val="21"/>
                <w:lang w:val="en-US" w:eastAsia="zh-CN"/>
              </w:rPr>
            </w:pPr>
          </w:p>
        </w:tc>
        <w:tc>
          <w:tcPr>
            <w:tcW w:w="2082" w:type="dxa"/>
          </w:tcPr>
          <w:p w14:paraId="07FCE428">
            <w:pPr>
              <w:spacing w:line="320" w:lineRule="exact"/>
              <w:rPr>
                <w:rFonts w:ascii="仿宋" w:hAnsi="仿宋" w:eastAsia="仿宋"/>
                <w:b w:val="0"/>
                <w:bCs/>
                <w:szCs w:val="21"/>
              </w:rPr>
            </w:pPr>
          </w:p>
        </w:tc>
      </w:tr>
      <w:tr w14:paraId="111FA2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92" w:hRule="atLeast"/>
        </w:trPr>
        <w:tc>
          <w:tcPr>
            <w:tcW w:w="633" w:type="dxa"/>
          </w:tcPr>
          <w:p w14:paraId="383525F6">
            <w:pPr>
              <w:spacing w:line="320" w:lineRule="exact"/>
              <w:rPr>
                <w:rFonts w:hint="default" w:ascii="仿宋" w:hAnsi="仿宋" w:eastAsia="仿宋"/>
                <w:b w:val="0"/>
                <w:bCs/>
                <w:szCs w:val="21"/>
                <w:lang w:val="en-US" w:eastAsia="zh-CN"/>
              </w:rPr>
            </w:pPr>
            <w:r>
              <w:rPr>
                <w:rFonts w:hint="eastAsia" w:ascii="仿宋" w:hAnsi="仿宋" w:eastAsia="仿宋"/>
                <w:b w:val="0"/>
                <w:bCs/>
                <w:szCs w:val="21"/>
                <w:lang w:val="en-US" w:eastAsia="zh-CN"/>
              </w:rPr>
              <w:t>5、</w:t>
            </w:r>
          </w:p>
        </w:tc>
        <w:tc>
          <w:tcPr>
            <w:tcW w:w="1198" w:type="dxa"/>
          </w:tcPr>
          <w:p w14:paraId="2C33CF18">
            <w:pPr>
              <w:spacing w:line="320" w:lineRule="exact"/>
              <w:rPr>
                <w:rFonts w:hint="default" w:ascii="仿宋" w:hAnsi="仿宋" w:eastAsia="仿宋"/>
                <w:b/>
                <w:bCs w:val="0"/>
                <w:sz w:val="24"/>
                <w:szCs w:val="24"/>
                <w:lang w:val="en-US" w:eastAsia="zh-CN"/>
              </w:rPr>
            </w:pPr>
            <w:r>
              <w:rPr>
                <w:rFonts w:hint="eastAsia" w:ascii="仿宋" w:hAnsi="仿宋" w:eastAsia="仿宋"/>
                <w:b/>
                <w:bCs w:val="0"/>
                <w:sz w:val="24"/>
                <w:szCs w:val="24"/>
                <w:lang w:val="en-US" w:eastAsia="zh-CN"/>
              </w:rPr>
              <w:t>考核</w:t>
            </w:r>
          </w:p>
        </w:tc>
        <w:tc>
          <w:tcPr>
            <w:tcW w:w="3395" w:type="dxa"/>
          </w:tcPr>
          <w:p w14:paraId="5B9EF765">
            <w:pPr>
              <w:numPr>
                <w:ilvl w:val="0"/>
                <w:numId w:val="0"/>
              </w:numPr>
              <w:jc w:val="both"/>
              <w:rPr>
                <w:rFonts w:hint="eastAsia" w:ascii="仿宋" w:hAnsi="仿宋" w:eastAsia="仿宋" w:cs="仿宋"/>
                <w:b/>
                <w:bCs w:val="0"/>
                <w:kern w:val="2"/>
                <w:sz w:val="21"/>
                <w:szCs w:val="21"/>
                <w:lang w:val="en-US" w:eastAsia="zh-CN" w:bidi="ar-SA"/>
              </w:rPr>
            </w:pPr>
            <w:r>
              <w:rPr>
                <w:rFonts w:hint="eastAsia" w:ascii="仿宋" w:hAnsi="仿宋" w:eastAsia="仿宋" w:cs="仿宋"/>
                <w:b/>
                <w:bCs w:val="0"/>
                <w:kern w:val="2"/>
                <w:sz w:val="21"/>
                <w:szCs w:val="21"/>
                <w:lang w:val="en-US" w:eastAsia="zh-CN" w:bidi="ar-SA"/>
              </w:rPr>
              <w:t>采购人按照食堂管理相关要求制定《食堂质量与安全考核细则》，内容涵盖制度执行、食堂管理、食品安全、食堂卫生及文明服务和就餐满意度等，按月对成交供应商进行考核。服务质量综合评价：满分100分，其中月质量考核占50%，就餐满意度占50%。</w:t>
            </w:r>
          </w:p>
          <w:p w14:paraId="3256842B">
            <w:pPr>
              <w:numPr>
                <w:ilvl w:val="0"/>
                <w:numId w:val="0"/>
              </w:numPr>
              <w:jc w:val="both"/>
              <w:rPr>
                <w:rFonts w:hint="default" w:ascii="仿宋" w:hAnsi="仿宋" w:eastAsia="仿宋" w:cs="仿宋"/>
                <w:b/>
                <w:bCs w:val="0"/>
                <w:kern w:val="2"/>
                <w:sz w:val="21"/>
                <w:szCs w:val="21"/>
                <w:lang w:val="en-US" w:eastAsia="zh-CN" w:bidi="ar-SA"/>
              </w:rPr>
            </w:pPr>
            <w:r>
              <w:rPr>
                <w:rFonts w:hint="eastAsia" w:ascii="仿宋" w:hAnsi="仿宋" w:eastAsia="仿宋" w:cs="仿宋"/>
                <w:b/>
                <w:bCs w:val="0"/>
                <w:kern w:val="2"/>
                <w:sz w:val="21"/>
                <w:szCs w:val="21"/>
                <w:lang w:val="en-US" w:eastAsia="zh-CN" w:bidi="ar-SA"/>
              </w:rPr>
              <w:t>综合评价80分为合格，考核不合格采购方有权对供应商进行相应处罚。</w:t>
            </w:r>
          </w:p>
          <w:p w14:paraId="41503048">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b w:val="0"/>
                <w:bCs/>
                <w:kern w:val="2"/>
                <w:sz w:val="21"/>
                <w:szCs w:val="21"/>
                <w:lang w:val="en-US" w:eastAsia="zh-CN" w:bidi="ar-SA"/>
              </w:rPr>
            </w:pPr>
          </w:p>
        </w:tc>
        <w:tc>
          <w:tcPr>
            <w:tcW w:w="835" w:type="dxa"/>
          </w:tcPr>
          <w:p w14:paraId="55EE8958">
            <w:pPr>
              <w:spacing w:line="320" w:lineRule="exact"/>
              <w:rPr>
                <w:rFonts w:ascii="仿宋" w:hAnsi="仿宋" w:eastAsia="仿宋"/>
                <w:b w:val="0"/>
                <w:bCs/>
                <w:szCs w:val="21"/>
              </w:rPr>
            </w:pPr>
          </w:p>
        </w:tc>
        <w:tc>
          <w:tcPr>
            <w:tcW w:w="1275" w:type="dxa"/>
          </w:tcPr>
          <w:p w14:paraId="6B5B9265">
            <w:pPr>
              <w:spacing w:line="320" w:lineRule="exact"/>
              <w:rPr>
                <w:rFonts w:hint="eastAsia" w:ascii="仿宋" w:hAnsi="仿宋" w:eastAsia="仿宋"/>
                <w:b w:val="0"/>
                <w:bCs/>
                <w:szCs w:val="21"/>
                <w:lang w:val="en-US" w:eastAsia="zh-CN"/>
              </w:rPr>
            </w:pPr>
          </w:p>
        </w:tc>
        <w:tc>
          <w:tcPr>
            <w:tcW w:w="2082" w:type="dxa"/>
          </w:tcPr>
          <w:p w14:paraId="1250F132">
            <w:pPr>
              <w:spacing w:line="320" w:lineRule="exact"/>
              <w:rPr>
                <w:rFonts w:ascii="仿宋" w:hAnsi="仿宋" w:eastAsia="仿宋"/>
                <w:b w:val="0"/>
                <w:bCs/>
                <w:szCs w:val="21"/>
              </w:rPr>
            </w:pPr>
          </w:p>
        </w:tc>
      </w:tr>
      <w:tr w14:paraId="5478CE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92" w:hRule="atLeast"/>
        </w:trPr>
        <w:tc>
          <w:tcPr>
            <w:tcW w:w="633" w:type="dxa"/>
            <w:vMerge w:val="restart"/>
          </w:tcPr>
          <w:p w14:paraId="16A6903D">
            <w:pPr>
              <w:spacing w:line="320" w:lineRule="exact"/>
              <w:rPr>
                <w:rFonts w:hint="default" w:ascii="仿宋" w:hAnsi="仿宋" w:eastAsia="仿宋"/>
                <w:b w:val="0"/>
                <w:bCs/>
                <w:szCs w:val="21"/>
                <w:lang w:val="en-US" w:eastAsia="zh-CN"/>
              </w:rPr>
            </w:pPr>
            <w:r>
              <w:rPr>
                <w:rFonts w:hint="eastAsia" w:ascii="仿宋" w:hAnsi="仿宋" w:eastAsia="仿宋"/>
                <w:b w:val="0"/>
                <w:bCs/>
                <w:szCs w:val="21"/>
                <w:lang w:val="en-US" w:eastAsia="zh-CN"/>
              </w:rPr>
              <w:t>6、</w:t>
            </w:r>
          </w:p>
        </w:tc>
        <w:tc>
          <w:tcPr>
            <w:tcW w:w="1198" w:type="dxa"/>
            <w:vMerge w:val="restart"/>
          </w:tcPr>
          <w:p w14:paraId="5E19A0DB">
            <w:pPr>
              <w:spacing w:line="320" w:lineRule="exact"/>
              <w:rPr>
                <w:rFonts w:hint="default" w:ascii="仿宋" w:hAnsi="仿宋" w:eastAsia="仿宋"/>
                <w:b/>
                <w:bCs w:val="0"/>
                <w:sz w:val="24"/>
                <w:szCs w:val="24"/>
                <w:lang w:val="en-US" w:eastAsia="zh-CN"/>
              </w:rPr>
            </w:pPr>
            <w:r>
              <w:rPr>
                <w:rFonts w:hint="eastAsia" w:ascii="仿宋" w:hAnsi="仿宋" w:eastAsia="仿宋"/>
                <w:b/>
                <w:bCs w:val="0"/>
                <w:sz w:val="24"/>
                <w:szCs w:val="24"/>
                <w:lang w:val="en-US" w:eastAsia="zh-CN"/>
              </w:rPr>
              <w:t>六、费用结算</w:t>
            </w:r>
          </w:p>
        </w:tc>
        <w:tc>
          <w:tcPr>
            <w:tcW w:w="3395" w:type="dxa"/>
          </w:tcPr>
          <w:p w14:paraId="6A614391">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b/>
                <w:bCs w:val="0"/>
                <w:kern w:val="2"/>
                <w:sz w:val="21"/>
                <w:szCs w:val="21"/>
                <w:lang w:val="en-US" w:eastAsia="zh-CN" w:bidi="ar-SA"/>
              </w:rPr>
            </w:pPr>
            <w:r>
              <w:rPr>
                <w:rFonts w:hint="eastAsia" w:ascii="仿宋" w:hAnsi="仿宋" w:eastAsia="仿宋" w:cs="仿宋"/>
                <w:b/>
                <w:bCs w:val="0"/>
                <w:kern w:val="2"/>
                <w:sz w:val="21"/>
                <w:szCs w:val="21"/>
                <w:lang w:val="en-US" w:eastAsia="zh-CN" w:bidi="ar-SA"/>
              </w:rPr>
              <w:t>1.供应商需向采购方支付经营期间食堂产生的水、电费用。</w:t>
            </w:r>
          </w:p>
          <w:p w14:paraId="3FA7CA2D">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b/>
                <w:bCs w:val="0"/>
                <w:kern w:val="2"/>
                <w:sz w:val="21"/>
                <w:szCs w:val="21"/>
                <w:lang w:val="en-US" w:eastAsia="zh-CN" w:bidi="ar-SA"/>
              </w:rPr>
            </w:pPr>
            <w:r>
              <w:rPr>
                <w:rFonts w:hint="eastAsia" w:ascii="仿宋" w:hAnsi="仿宋" w:eastAsia="仿宋" w:cs="仿宋"/>
                <w:b/>
                <w:bCs w:val="0"/>
                <w:kern w:val="2"/>
                <w:sz w:val="21"/>
                <w:szCs w:val="21"/>
                <w:lang w:val="en-US" w:eastAsia="zh-CN" w:bidi="ar-SA"/>
              </w:rPr>
              <w:t>电费:0.8元/kwh</w:t>
            </w:r>
          </w:p>
          <w:p w14:paraId="6FAF86A1">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 w:hAnsi="仿宋" w:eastAsia="仿宋" w:cs="仿宋"/>
                <w:b/>
                <w:bCs w:val="0"/>
                <w:kern w:val="2"/>
                <w:sz w:val="21"/>
                <w:szCs w:val="21"/>
                <w:lang w:val="en-US" w:eastAsia="zh-CN" w:bidi="ar-SA"/>
              </w:rPr>
            </w:pPr>
            <w:r>
              <w:rPr>
                <w:rFonts w:hint="eastAsia" w:ascii="仿宋" w:hAnsi="仿宋" w:eastAsia="仿宋" w:cs="仿宋"/>
                <w:b/>
                <w:bCs w:val="0"/>
                <w:kern w:val="2"/>
                <w:sz w:val="21"/>
                <w:szCs w:val="21"/>
                <w:lang w:val="en-US" w:eastAsia="zh-CN" w:bidi="ar-SA"/>
              </w:rPr>
              <w:t>水费:2.5元/吨</w:t>
            </w:r>
          </w:p>
          <w:p w14:paraId="0019D8D2">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 w:hAnsi="仿宋" w:eastAsia="仿宋" w:cs="仿宋"/>
                <w:b w:val="0"/>
                <w:bCs/>
                <w:kern w:val="2"/>
                <w:sz w:val="21"/>
                <w:szCs w:val="21"/>
                <w:lang w:val="en-US" w:eastAsia="zh-CN" w:bidi="ar-SA"/>
              </w:rPr>
            </w:pPr>
            <w:r>
              <w:rPr>
                <w:rFonts w:hint="eastAsia" w:ascii="仿宋" w:hAnsi="仿宋" w:eastAsia="仿宋" w:cs="仿宋"/>
                <w:b w:val="0"/>
                <w:bCs/>
                <w:kern w:val="2"/>
                <w:sz w:val="21"/>
                <w:szCs w:val="21"/>
                <w:lang w:val="en-US" w:eastAsia="zh-CN" w:bidi="ar-SA"/>
              </w:rPr>
              <w:t>如遇国网、水厂价格调整，此价格也将相应进行调整。</w:t>
            </w:r>
          </w:p>
        </w:tc>
        <w:tc>
          <w:tcPr>
            <w:tcW w:w="835" w:type="dxa"/>
          </w:tcPr>
          <w:p w14:paraId="0C504B30">
            <w:pPr>
              <w:spacing w:line="320" w:lineRule="exact"/>
              <w:rPr>
                <w:rFonts w:ascii="仿宋" w:hAnsi="仿宋" w:eastAsia="仿宋"/>
                <w:b w:val="0"/>
                <w:bCs/>
                <w:szCs w:val="21"/>
              </w:rPr>
            </w:pPr>
          </w:p>
        </w:tc>
        <w:tc>
          <w:tcPr>
            <w:tcW w:w="1275" w:type="dxa"/>
          </w:tcPr>
          <w:p w14:paraId="772E51DF">
            <w:pPr>
              <w:spacing w:line="320" w:lineRule="exact"/>
              <w:rPr>
                <w:rFonts w:hint="eastAsia" w:ascii="仿宋" w:hAnsi="仿宋" w:eastAsia="仿宋"/>
                <w:b w:val="0"/>
                <w:bCs/>
                <w:szCs w:val="21"/>
                <w:lang w:val="en-US" w:eastAsia="zh-CN"/>
              </w:rPr>
            </w:pPr>
          </w:p>
        </w:tc>
        <w:tc>
          <w:tcPr>
            <w:tcW w:w="2082" w:type="dxa"/>
          </w:tcPr>
          <w:p w14:paraId="7F95434A">
            <w:pPr>
              <w:spacing w:line="320" w:lineRule="exact"/>
              <w:rPr>
                <w:rFonts w:ascii="仿宋" w:hAnsi="仿宋" w:eastAsia="仿宋"/>
                <w:b w:val="0"/>
                <w:bCs/>
                <w:szCs w:val="21"/>
              </w:rPr>
            </w:pPr>
          </w:p>
        </w:tc>
      </w:tr>
      <w:tr w14:paraId="639994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92" w:hRule="atLeast"/>
        </w:trPr>
        <w:tc>
          <w:tcPr>
            <w:tcW w:w="633" w:type="dxa"/>
            <w:vMerge w:val="continue"/>
          </w:tcPr>
          <w:p w14:paraId="1DEF7319">
            <w:pPr>
              <w:spacing w:line="320" w:lineRule="exact"/>
              <w:rPr>
                <w:rFonts w:hint="eastAsia" w:ascii="仿宋" w:hAnsi="仿宋" w:eastAsia="仿宋"/>
                <w:b w:val="0"/>
                <w:bCs/>
                <w:szCs w:val="21"/>
                <w:lang w:val="en-US" w:eastAsia="zh-CN"/>
              </w:rPr>
            </w:pPr>
          </w:p>
        </w:tc>
        <w:tc>
          <w:tcPr>
            <w:tcW w:w="1198" w:type="dxa"/>
            <w:vMerge w:val="continue"/>
          </w:tcPr>
          <w:p w14:paraId="3B4273C0">
            <w:pPr>
              <w:spacing w:line="320" w:lineRule="exact"/>
              <w:rPr>
                <w:rFonts w:hint="eastAsia" w:ascii="仿宋" w:hAnsi="仿宋" w:eastAsia="仿宋"/>
                <w:b/>
                <w:bCs w:val="0"/>
                <w:sz w:val="24"/>
                <w:szCs w:val="24"/>
                <w:lang w:val="en-US" w:eastAsia="zh-CN"/>
              </w:rPr>
            </w:pPr>
          </w:p>
        </w:tc>
        <w:tc>
          <w:tcPr>
            <w:tcW w:w="3395" w:type="dxa"/>
          </w:tcPr>
          <w:p w14:paraId="7CCDE38B">
            <w:pPr>
              <w:numPr>
                <w:ilvl w:val="0"/>
                <w:numId w:val="0"/>
              </w:numPr>
              <w:jc w:val="both"/>
              <w:rPr>
                <w:rFonts w:hint="default" w:ascii="仿宋" w:hAnsi="仿宋" w:eastAsia="仿宋" w:cs="仿宋"/>
                <w:b/>
                <w:bCs w:val="0"/>
                <w:kern w:val="2"/>
                <w:sz w:val="21"/>
                <w:szCs w:val="21"/>
                <w:lang w:val="en-US" w:eastAsia="zh-CN" w:bidi="ar-SA"/>
              </w:rPr>
            </w:pPr>
            <w:r>
              <w:rPr>
                <w:rFonts w:hint="eastAsia" w:ascii="仿宋" w:hAnsi="仿宋" w:eastAsia="仿宋" w:cs="仿宋"/>
                <w:b/>
                <w:bCs w:val="0"/>
                <w:kern w:val="2"/>
                <w:sz w:val="21"/>
                <w:szCs w:val="21"/>
                <w:lang w:val="en-US" w:eastAsia="zh-CN" w:bidi="ar-SA"/>
              </w:rPr>
              <w:t>2.食堂投入运营后，所有费用每季度结算一次。在结算周期结束3个工作日内，供应商向采购方提供详细用餐明细账单，采购方在收到明细帐单后的3个工作日内核算完毕，无异议后扣除供应商经营期间所产生的水、电费，及其他相关费用，通过对公转账方式支付至供应商指定账户。</w:t>
            </w:r>
          </w:p>
          <w:p w14:paraId="7EC8BF06">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 w:hAnsi="仿宋" w:eastAsia="仿宋" w:cs="仿宋"/>
                <w:b/>
                <w:bCs w:val="0"/>
                <w:kern w:val="2"/>
                <w:sz w:val="21"/>
                <w:szCs w:val="21"/>
                <w:lang w:val="en-US" w:eastAsia="zh-CN" w:bidi="ar-SA"/>
              </w:rPr>
            </w:pPr>
          </w:p>
          <w:p w14:paraId="34ECB484">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 w:hAnsi="仿宋" w:eastAsia="仿宋" w:cs="仿宋"/>
                <w:b w:val="0"/>
                <w:bCs/>
                <w:kern w:val="2"/>
                <w:sz w:val="21"/>
                <w:szCs w:val="21"/>
                <w:lang w:val="en-US" w:eastAsia="zh-CN" w:bidi="ar-SA"/>
              </w:rPr>
            </w:pPr>
          </w:p>
        </w:tc>
        <w:tc>
          <w:tcPr>
            <w:tcW w:w="835" w:type="dxa"/>
          </w:tcPr>
          <w:p w14:paraId="7DBD80A3">
            <w:pPr>
              <w:spacing w:line="320" w:lineRule="exact"/>
              <w:rPr>
                <w:rFonts w:ascii="仿宋" w:hAnsi="仿宋" w:eastAsia="仿宋"/>
                <w:b w:val="0"/>
                <w:bCs/>
                <w:szCs w:val="21"/>
              </w:rPr>
            </w:pPr>
          </w:p>
        </w:tc>
        <w:tc>
          <w:tcPr>
            <w:tcW w:w="1275" w:type="dxa"/>
          </w:tcPr>
          <w:p w14:paraId="3786DC8A">
            <w:pPr>
              <w:spacing w:line="320" w:lineRule="exact"/>
              <w:rPr>
                <w:rFonts w:hint="eastAsia" w:ascii="仿宋" w:hAnsi="仿宋" w:eastAsia="仿宋"/>
                <w:b w:val="0"/>
                <w:bCs/>
                <w:szCs w:val="21"/>
                <w:lang w:val="en-US" w:eastAsia="zh-CN"/>
              </w:rPr>
            </w:pPr>
          </w:p>
        </w:tc>
        <w:tc>
          <w:tcPr>
            <w:tcW w:w="2082" w:type="dxa"/>
          </w:tcPr>
          <w:p w14:paraId="16972398">
            <w:pPr>
              <w:spacing w:line="320" w:lineRule="exact"/>
              <w:rPr>
                <w:rFonts w:ascii="仿宋" w:hAnsi="仿宋" w:eastAsia="仿宋"/>
                <w:b w:val="0"/>
                <w:bCs/>
                <w:szCs w:val="21"/>
              </w:rPr>
            </w:pPr>
          </w:p>
        </w:tc>
      </w:tr>
      <w:tr w14:paraId="18B269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92" w:hRule="atLeast"/>
        </w:trPr>
        <w:tc>
          <w:tcPr>
            <w:tcW w:w="633" w:type="dxa"/>
          </w:tcPr>
          <w:p w14:paraId="3DE802CE">
            <w:pPr>
              <w:spacing w:line="320" w:lineRule="exact"/>
              <w:rPr>
                <w:rFonts w:hint="default" w:ascii="仿宋" w:hAnsi="仿宋" w:eastAsia="仿宋"/>
                <w:b w:val="0"/>
                <w:bCs/>
                <w:szCs w:val="21"/>
                <w:lang w:val="en-US" w:eastAsia="zh-CN"/>
              </w:rPr>
            </w:pPr>
            <w:r>
              <w:rPr>
                <w:rFonts w:hint="eastAsia" w:ascii="仿宋" w:hAnsi="仿宋" w:eastAsia="仿宋"/>
                <w:b w:val="0"/>
                <w:bCs/>
                <w:szCs w:val="21"/>
                <w:lang w:val="en-US" w:eastAsia="zh-CN"/>
              </w:rPr>
              <w:t>7、</w:t>
            </w:r>
          </w:p>
        </w:tc>
        <w:tc>
          <w:tcPr>
            <w:tcW w:w="1198" w:type="dxa"/>
          </w:tcPr>
          <w:p w14:paraId="78B98DAB">
            <w:pPr>
              <w:spacing w:line="320" w:lineRule="exact"/>
              <w:rPr>
                <w:rFonts w:hint="default" w:ascii="仿宋" w:hAnsi="仿宋" w:eastAsia="仿宋"/>
                <w:b/>
                <w:bCs w:val="0"/>
                <w:sz w:val="24"/>
                <w:szCs w:val="24"/>
                <w:lang w:val="en-US" w:eastAsia="zh-CN"/>
              </w:rPr>
            </w:pPr>
            <w:r>
              <w:rPr>
                <w:rFonts w:hint="eastAsia" w:ascii="仿宋" w:hAnsi="仿宋" w:eastAsia="仿宋"/>
                <w:b/>
                <w:bCs w:val="0"/>
                <w:sz w:val="24"/>
                <w:szCs w:val="24"/>
                <w:lang w:val="en-US" w:eastAsia="zh-CN"/>
              </w:rPr>
              <w:t>七、合同履行期限</w:t>
            </w:r>
          </w:p>
        </w:tc>
        <w:tc>
          <w:tcPr>
            <w:tcW w:w="3395" w:type="dxa"/>
          </w:tcPr>
          <w:p w14:paraId="521BB52C">
            <w:pPr>
              <w:snapToGrid w:val="0"/>
              <w:spacing w:line="240" w:lineRule="auto"/>
              <w:rPr>
                <w:rFonts w:hint="eastAsia" w:ascii="仿宋" w:hAnsi="仿宋" w:eastAsia="仿宋" w:cs="仿宋"/>
                <w:b/>
                <w:bCs w:val="0"/>
                <w:kern w:val="2"/>
                <w:sz w:val="21"/>
                <w:szCs w:val="21"/>
                <w:lang w:val="en-US" w:eastAsia="zh-CN" w:bidi="ar-SA"/>
              </w:rPr>
            </w:pPr>
            <w:r>
              <w:rPr>
                <w:rFonts w:hint="eastAsia" w:ascii="仿宋" w:hAnsi="仿宋" w:eastAsia="仿宋" w:cs="仿宋"/>
                <w:b/>
                <w:bCs w:val="0"/>
                <w:kern w:val="2"/>
                <w:sz w:val="21"/>
                <w:szCs w:val="21"/>
                <w:lang w:val="en-US" w:eastAsia="zh-CN" w:bidi="ar-SA"/>
              </w:rPr>
              <w:t>合同服务期：3年（自合同签订且食堂装修改造完成并经验收合格之日起计算服务期），一年一考核一续签，经年度考核80分及以上为合格，则续签下一年合同，合同期满3年后，经采购方考核合格并上报办公会同意后可以再续签2年。</w:t>
            </w:r>
          </w:p>
          <w:p w14:paraId="7EC976C3">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仿宋" w:hAnsi="仿宋" w:eastAsia="仿宋" w:cs="仿宋"/>
                <w:b w:val="0"/>
                <w:bCs/>
                <w:kern w:val="2"/>
                <w:sz w:val="21"/>
                <w:szCs w:val="21"/>
                <w:lang w:val="en-US" w:eastAsia="zh-CN" w:bidi="ar-SA"/>
              </w:rPr>
            </w:pPr>
          </w:p>
        </w:tc>
        <w:tc>
          <w:tcPr>
            <w:tcW w:w="835" w:type="dxa"/>
          </w:tcPr>
          <w:p w14:paraId="120065BA">
            <w:pPr>
              <w:spacing w:line="320" w:lineRule="exact"/>
              <w:rPr>
                <w:rFonts w:ascii="仿宋" w:hAnsi="仿宋" w:eastAsia="仿宋"/>
                <w:b w:val="0"/>
                <w:bCs/>
                <w:szCs w:val="21"/>
              </w:rPr>
            </w:pPr>
          </w:p>
        </w:tc>
        <w:tc>
          <w:tcPr>
            <w:tcW w:w="1275" w:type="dxa"/>
          </w:tcPr>
          <w:p w14:paraId="3B528A71">
            <w:pPr>
              <w:spacing w:line="320" w:lineRule="exact"/>
              <w:rPr>
                <w:rFonts w:hint="eastAsia" w:ascii="仿宋" w:hAnsi="仿宋" w:eastAsia="仿宋"/>
                <w:b w:val="0"/>
                <w:bCs/>
                <w:szCs w:val="21"/>
                <w:lang w:val="en-US" w:eastAsia="zh-CN"/>
              </w:rPr>
            </w:pPr>
          </w:p>
        </w:tc>
        <w:tc>
          <w:tcPr>
            <w:tcW w:w="2082" w:type="dxa"/>
          </w:tcPr>
          <w:p w14:paraId="14DC890D">
            <w:pPr>
              <w:spacing w:line="320" w:lineRule="exact"/>
              <w:rPr>
                <w:rFonts w:ascii="仿宋" w:hAnsi="仿宋" w:eastAsia="仿宋"/>
                <w:b w:val="0"/>
                <w:bCs/>
                <w:szCs w:val="21"/>
              </w:rPr>
            </w:pPr>
          </w:p>
        </w:tc>
      </w:tr>
    </w:tbl>
    <w:p w14:paraId="5F169809">
      <w:pPr>
        <w:spacing w:line="280" w:lineRule="exact"/>
        <w:rPr>
          <w:rFonts w:hint="eastAsia" w:ascii="仿宋" w:hAnsi="仿宋" w:eastAsia="仿宋"/>
          <w:szCs w:val="21"/>
        </w:rPr>
      </w:pPr>
    </w:p>
    <w:p w14:paraId="63CA7748">
      <w:pPr>
        <w:spacing w:line="280" w:lineRule="exact"/>
        <w:rPr>
          <w:rFonts w:hint="eastAsia" w:ascii="仿宋" w:hAnsi="仿宋" w:eastAsia="仿宋"/>
          <w:b/>
          <w:sz w:val="24"/>
          <w:szCs w:val="24"/>
          <w:lang w:eastAsia="zh-CN"/>
        </w:rPr>
      </w:pPr>
    </w:p>
    <w:p w14:paraId="7063104D">
      <w:pPr>
        <w:spacing w:line="280" w:lineRule="exact"/>
        <w:rPr>
          <w:rFonts w:hint="eastAsia" w:ascii="仿宋" w:hAnsi="仿宋" w:eastAsia="仿宋"/>
          <w:b/>
          <w:sz w:val="24"/>
          <w:szCs w:val="24"/>
          <w:lang w:eastAsia="zh-CN"/>
        </w:rPr>
      </w:pPr>
    </w:p>
    <w:p w14:paraId="190F247A">
      <w:pPr>
        <w:spacing w:line="280" w:lineRule="exact"/>
        <w:rPr>
          <w:rFonts w:hint="eastAsia" w:ascii="仿宋" w:hAnsi="仿宋" w:eastAsia="仿宋"/>
          <w:b/>
          <w:sz w:val="24"/>
          <w:szCs w:val="24"/>
          <w:lang w:val="en-US" w:eastAsia="zh-CN"/>
        </w:rPr>
      </w:pPr>
      <w:r>
        <w:rPr>
          <w:rFonts w:hint="eastAsia" w:ascii="仿宋" w:hAnsi="仿宋" w:eastAsia="仿宋"/>
          <w:b/>
          <w:sz w:val="24"/>
          <w:szCs w:val="24"/>
          <w:lang w:eastAsia="zh-CN"/>
        </w:rPr>
        <w:t>第</w:t>
      </w:r>
      <w:r>
        <w:rPr>
          <w:rFonts w:hint="eastAsia" w:ascii="仿宋" w:hAnsi="仿宋" w:eastAsia="仿宋"/>
          <w:b/>
          <w:sz w:val="24"/>
          <w:szCs w:val="24"/>
          <w:lang w:val="en-US" w:eastAsia="zh-CN"/>
        </w:rPr>
        <w:t>二</w:t>
      </w:r>
      <w:r>
        <w:rPr>
          <w:rFonts w:hint="eastAsia" w:ascii="仿宋" w:hAnsi="仿宋" w:eastAsia="仿宋"/>
          <w:b/>
          <w:sz w:val="24"/>
          <w:szCs w:val="24"/>
          <w:lang w:eastAsia="zh-CN"/>
        </w:rPr>
        <w:t>部分：</w:t>
      </w:r>
      <w:r>
        <w:rPr>
          <w:rFonts w:hint="eastAsia" w:ascii="仿宋" w:hAnsi="仿宋" w:eastAsia="仿宋"/>
          <w:b/>
          <w:sz w:val="24"/>
          <w:szCs w:val="24"/>
          <w:lang w:val="en-US" w:eastAsia="zh-CN"/>
        </w:rPr>
        <w:t>采购方式</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1"/>
        <w:gridCol w:w="3479"/>
        <w:gridCol w:w="2131"/>
        <w:gridCol w:w="2131"/>
      </w:tblGrid>
      <w:tr w14:paraId="3D07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Pr>
          <w:p w14:paraId="0CCA0DA7">
            <w:pPr>
              <w:pStyle w:val="2"/>
              <w:ind w:left="0" w:leftChars="0" w:firstLine="0" w:firstLineChars="0"/>
              <w:jc w:val="center"/>
              <w:rPr>
                <w:rFonts w:hint="default" w:ascii="仿宋" w:hAnsi="仿宋" w:eastAsia="仿宋" w:cs="仿宋"/>
                <w:b w:val="0"/>
                <w:bCs/>
                <w:kern w:val="2"/>
                <w:sz w:val="21"/>
                <w:szCs w:val="21"/>
                <w:lang w:val="en-US" w:eastAsia="zh-CN" w:bidi="ar-SA"/>
              </w:rPr>
            </w:pPr>
            <w:r>
              <w:rPr>
                <w:rFonts w:hint="eastAsia" w:ascii="仿宋" w:hAnsi="仿宋" w:eastAsia="仿宋" w:cs="仿宋"/>
                <w:b w:val="0"/>
                <w:bCs/>
                <w:kern w:val="2"/>
                <w:sz w:val="21"/>
                <w:szCs w:val="21"/>
                <w:lang w:val="en-US" w:eastAsia="zh-CN" w:bidi="ar-SA"/>
              </w:rPr>
              <w:t>序号</w:t>
            </w:r>
          </w:p>
        </w:tc>
        <w:tc>
          <w:tcPr>
            <w:tcW w:w="3479" w:type="dxa"/>
          </w:tcPr>
          <w:p w14:paraId="737FA708">
            <w:pPr>
              <w:pStyle w:val="2"/>
              <w:ind w:left="0" w:leftChars="0" w:firstLine="0" w:firstLineChars="0"/>
              <w:jc w:val="center"/>
              <w:rPr>
                <w:rFonts w:hint="default" w:ascii="仿宋" w:hAnsi="仿宋" w:eastAsia="仿宋" w:cs="仿宋"/>
                <w:b w:val="0"/>
                <w:bCs/>
                <w:kern w:val="2"/>
                <w:sz w:val="21"/>
                <w:szCs w:val="21"/>
                <w:lang w:val="en-US" w:eastAsia="zh-CN" w:bidi="ar-SA"/>
              </w:rPr>
            </w:pPr>
            <w:r>
              <w:rPr>
                <w:rFonts w:hint="eastAsia" w:ascii="仿宋" w:hAnsi="仿宋" w:eastAsia="仿宋" w:cs="仿宋"/>
                <w:b w:val="0"/>
                <w:bCs/>
                <w:kern w:val="2"/>
                <w:sz w:val="21"/>
                <w:szCs w:val="21"/>
                <w:lang w:val="en-US" w:eastAsia="zh-CN" w:bidi="ar-SA"/>
              </w:rPr>
              <w:t>采购方式</w:t>
            </w:r>
          </w:p>
        </w:tc>
        <w:tc>
          <w:tcPr>
            <w:tcW w:w="2131" w:type="dxa"/>
          </w:tcPr>
          <w:p w14:paraId="75F876E0">
            <w:pPr>
              <w:pStyle w:val="2"/>
              <w:ind w:left="0" w:leftChars="0" w:firstLine="0" w:firstLineChars="0"/>
              <w:jc w:val="center"/>
              <w:rPr>
                <w:rFonts w:hint="default" w:ascii="仿宋" w:hAnsi="仿宋" w:eastAsia="仿宋" w:cs="仿宋"/>
                <w:b w:val="0"/>
                <w:bCs/>
                <w:kern w:val="2"/>
                <w:sz w:val="21"/>
                <w:szCs w:val="21"/>
                <w:lang w:val="en-US" w:eastAsia="zh-CN" w:bidi="ar-SA"/>
              </w:rPr>
            </w:pPr>
            <w:r>
              <w:rPr>
                <w:rFonts w:hint="eastAsia" w:ascii="仿宋" w:hAnsi="仿宋" w:eastAsia="仿宋" w:cs="仿宋"/>
                <w:b w:val="0"/>
                <w:bCs/>
                <w:kern w:val="2"/>
                <w:sz w:val="21"/>
                <w:szCs w:val="21"/>
                <w:lang w:val="en-US" w:eastAsia="zh-CN" w:bidi="ar-SA"/>
              </w:rPr>
              <w:t>响应类型</w:t>
            </w:r>
          </w:p>
        </w:tc>
        <w:tc>
          <w:tcPr>
            <w:tcW w:w="2131" w:type="dxa"/>
          </w:tcPr>
          <w:p w14:paraId="34F3F82C">
            <w:pPr>
              <w:pStyle w:val="2"/>
              <w:rPr>
                <w:rFonts w:hint="default" w:ascii="仿宋" w:hAnsi="仿宋" w:eastAsia="仿宋" w:cs="仿宋"/>
                <w:b w:val="0"/>
                <w:bCs/>
                <w:kern w:val="2"/>
                <w:sz w:val="21"/>
                <w:szCs w:val="21"/>
                <w:lang w:val="en-US" w:eastAsia="zh-CN" w:bidi="ar-SA"/>
              </w:rPr>
            </w:pPr>
            <w:r>
              <w:rPr>
                <w:rFonts w:hint="eastAsia" w:ascii="仿宋" w:hAnsi="仿宋" w:eastAsia="仿宋" w:cs="仿宋"/>
                <w:b w:val="0"/>
                <w:bCs/>
                <w:kern w:val="2"/>
                <w:sz w:val="21"/>
                <w:szCs w:val="21"/>
                <w:lang w:val="en-US" w:eastAsia="zh-CN" w:bidi="ar-SA"/>
              </w:rPr>
              <w:t>其他意见</w:t>
            </w:r>
          </w:p>
        </w:tc>
      </w:tr>
      <w:tr w14:paraId="4B8F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Pr>
          <w:p w14:paraId="00BA34BA">
            <w:pPr>
              <w:pStyle w:val="2"/>
              <w:ind w:left="0" w:leftChars="0" w:firstLine="0" w:firstLineChars="0"/>
              <w:jc w:val="center"/>
              <w:rPr>
                <w:rFonts w:hint="default" w:ascii="仿宋" w:hAnsi="仿宋" w:eastAsia="仿宋" w:cs="仿宋"/>
                <w:b w:val="0"/>
                <w:bCs/>
                <w:kern w:val="2"/>
                <w:sz w:val="21"/>
                <w:szCs w:val="21"/>
                <w:lang w:val="en-US" w:eastAsia="zh-CN" w:bidi="ar-SA"/>
              </w:rPr>
            </w:pPr>
            <w:r>
              <w:rPr>
                <w:rFonts w:hint="eastAsia" w:ascii="仿宋" w:hAnsi="仿宋" w:eastAsia="仿宋" w:cs="仿宋"/>
                <w:b w:val="0"/>
                <w:bCs/>
                <w:kern w:val="2"/>
                <w:sz w:val="21"/>
                <w:szCs w:val="21"/>
                <w:lang w:val="en-US" w:eastAsia="zh-CN" w:bidi="ar-SA"/>
              </w:rPr>
              <w:t>1</w:t>
            </w:r>
          </w:p>
        </w:tc>
        <w:tc>
          <w:tcPr>
            <w:tcW w:w="3479" w:type="dxa"/>
          </w:tcPr>
          <w:p w14:paraId="1F90175F">
            <w:pPr>
              <w:pStyle w:val="2"/>
              <w:ind w:left="0" w:leftChars="0" w:firstLine="0" w:firstLineChars="0"/>
              <w:jc w:val="both"/>
              <w:rPr>
                <w:rFonts w:hint="default" w:ascii="仿宋" w:hAnsi="仿宋" w:eastAsia="仿宋" w:cs="仿宋"/>
                <w:b w:val="0"/>
                <w:bCs/>
                <w:kern w:val="2"/>
                <w:sz w:val="21"/>
                <w:szCs w:val="21"/>
                <w:lang w:val="en-US" w:eastAsia="zh-CN" w:bidi="ar-SA"/>
              </w:rPr>
            </w:pPr>
            <w:r>
              <w:rPr>
                <w:rFonts w:hint="eastAsia" w:ascii="仿宋" w:hAnsi="仿宋" w:eastAsia="仿宋" w:cs="仿宋"/>
                <w:b/>
                <w:bCs w:val="0"/>
                <w:kern w:val="2"/>
                <w:sz w:val="21"/>
                <w:szCs w:val="21"/>
                <w:lang w:val="en-US" w:eastAsia="zh-CN" w:bidi="ar-SA"/>
              </w:rPr>
              <w:t>竞争性磋商:</w:t>
            </w:r>
            <w:r>
              <w:rPr>
                <w:rFonts w:hint="eastAsia" w:ascii="仿宋" w:hAnsi="仿宋" w:eastAsia="仿宋" w:cs="仿宋"/>
                <w:b w:val="0"/>
                <w:bCs/>
                <w:kern w:val="2"/>
                <w:sz w:val="21"/>
                <w:szCs w:val="21"/>
                <w:lang w:val="en-US" w:eastAsia="zh-CN" w:bidi="ar-SA"/>
              </w:rPr>
              <w:t>采购方通过政府采购平台发布磋商公告，组建专家磋商小组，采取一对一平等磋商模式。对供餐方案、食品安全管控、后厨管理、应急保障、服务承诺进行优化完善，采用综合评分法择优确定成交供应商。</w:t>
            </w:r>
          </w:p>
        </w:tc>
        <w:tc>
          <w:tcPr>
            <w:tcW w:w="2131" w:type="dxa"/>
          </w:tcPr>
          <w:p w14:paraId="2A0021B8">
            <w:pPr>
              <w:pStyle w:val="2"/>
              <w:rPr>
                <w:rFonts w:hint="eastAsia" w:ascii="仿宋" w:hAnsi="仿宋" w:eastAsia="仿宋" w:cs="仿宋"/>
                <w:b w:val="0"/>
                <w:bCs/>
                <w:kern w:val="2"/>
                <w:sz w:val="21"/>
                <w:szCs w:val="21"/>
                <w:lang w:val="en-US" w:eastAsia="zh-CN" w:bidi="ar-SA"/>
              </w:rPr>
            </w:pPr>
          </w:p>
        </w:tc>
        <w:tc>
          <w:tcPr>
            <w:tcW w:w="2131" w:type="dxa"/>
          </w:tcPr>
          <w:p w14:paraId="425B71B8">
            <w:pPr>
              <w:pStyle w:val="2"/>
              <w:rPr>
                <w:rFonts w:hint="eastAsia" w:ascii="仿宋" w:hAnsi="仿宋" w:eastAsia="仿宋" w:cs="仿宋"/>
                <w:b w:val="0"/>
                <w:bCs/>
                <w:kern w:val="2"/>
                <w:sz w:val="21"/>
                <w:szCs w:val="21"/>
                <w:lang w:val="en-US" w:eastAsia="zh-CN" w:bidi="ar-SA"/>
              </w:rPr>
            </w:pPr>
          </w:p>
        </w:tc>
      </w:tr>
      <w:tr w14:paraId="7007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1" w:type="dxa"/>
          </w:tcPr>
          <w:p w14:paraId="5C04CA3E">
            <w:pPr>
              <w:pStyle w:val="2"/>
              <w:ind w:left="0" w:leftChars="0" w:firstLine="0" w:firstLineChars="0"/>
              <w:jc w:val="center"/>
              <w:rPr>
                <w:rFonts w:hint="default" w:ascii="仿宋" w:hAnsi="仿宋" w:eastAsia="仿宋" w:cs="仿宋"/>
                <w:b w:val="0"/>
                <w:bCs/>
                <w:kern w:val="2"/>
                <w:sz w:val="21"/>
                <w:szCs w:val="21"/>
                <w:lang w:val="en-US" w:eastAsia="zh-CN" w:bidi="ar-SA"/>
              </w:rPr>
            </w:pPr>
            <w:r>
              <w:rPr>
                <w:rFonts w:hint="eastAsia" w:ascii="仿宋" w:hAnsi="仿宋" w:eastAsia="仿宋" w:cs="仿宋"/>
                <w:b w:val="0"/>
                <w:bCs/>
                <w:kern w:val="2"/>
                <w:sz w:val="21"/>
                <w:szCs w:val="21"/>
                <w:lang w:val="en-US" w:eastAsia="zh-CN" w:bidi="ar-SA"/>
              </w:rPr>
              <w:t>2</w:t>
            </w:r>
          </w:p>
        </w:tc>
        <w:tc>
          <w:tcPr>
            <w:tcW w:w="3479" w:type="dxa"/>
          </w:tcPr>
          <w:p w14:paraId="6F0FB56F">
            <w:pPr>
              <w:pStyle w:val="2"/>
              <w:ind w:left="0" w:leftChars="0" w:firstLine="0" w:firstLineChars="0"/>
              <w:jc w:val="both"/>
              <w:rPr>
                <w:rFonts w:hint="eastAsia" w:ascii="仿宋" w:hAnsi="仿宋" w:eastAsia="仿宋" w:cs="仿宋"/>
                <w:b/>
                <w:bCs w:val="0"/>
                <w:kern w:val="2"/>
                <w:sz w:val="21"/>
                <w:szCs w:val="21"/>
                <w:lang w:val="en-US" w:eastAsia="zh-CN" w:bidi="ar-SA"/>
              </w:rPr>
            </w:pPr>
            <w:r>
              <w:rPr>
                <w:rFonts w:hint="eastAsia" w:ascii="仿宋" w:hAnsi="仿宋" w:eastAsia="仿宋" w:cs="仿宋"/>
                <w:b/>
                <w:bCs w:val="0"/>
                <w:kern w:val="2"/>
                <w:sz w:val="21"/>
                <w:szCs w:val="21"/>
                <w:lang w:val="en-US" w:eastAsia="zh-CN" w:bidi="ar-SA"/>
              </w:rPr>
              <w:t>直接发包：</w:t>
            </w:r>
            <w:r>
              <w:rPr>
                <w:rFonts w:hint="eastAsia" w:ascii="仿宋" w:hAnsi="仿宋" w:eastAsia="仿宋" w:cs="仿宋"/>
                <w:b w:val="0"/>
                <w:bCs/>
                <w:kern w:val="2"/>
                <w:sz w:val="21"/>
                <w:szCs w:val="21"/>
                <w:lang w:val="en-US" w:eastAsia="zh-CN" w:bidi="ar-SA"/>
              </w:rPr>
              <w:t>履行内部审批程序后，直接选定具备餐饮经营资质、能够满足项目全部供餐、食品安全、应急保障等服务要求的服务商，双方就供餐方案、管理细则、服务价格、权责义务等条款协商达成共识，直接签订服务承包合同。</w:t>
            </w:r>
          </w:p>
        </w:tc>
        <w:tc>
          <w:tcPr>
            <w:tcW w:w="2131" w:type="dxa"/>
          </w:tcPr>
          <w:p w14:paraId="6A929B29">
            <w:pPr>
              <w:pStyle w:val="2"/>
              <w:rPr>
                <w:rFonts w:hint="eastAsia" w:ascii="仿宋" w:hAnsi="仿宋" w:eastAsia="仿宋" w:cs="仿宋"/>
                <w:b w:val="0"/>
                <w:bCs/>
                <w:kern w:val="2"/>
                <w:sz w:val="21"/>
                <w:szCs w:val="21"/>
                <w:lang w:val="en-US" w:eastAsia="zh-CN" w:bidi="ar-SA"/>
              </w:rPr>
            </w:pPr>
          </w:p>
        </w:tc>
        <w:tc>
          <w:tcPr>
            <w:tcW w:w="2131" w:type="dxa"/>
          </w:tcPr>
          <w:p w14:paraId="292FB91E">
            <w:pPr>
              <w:pStyle w:val="2"/>
              <w:rPr>
                <w:rFonts w:hint="eastAsia" w:ascii="仿宋" w:hAnsi="仿宋" w:eastAsia="仿宋" w:cs="仿宋"/>
                <w:b w:val="0"/>
                <w:bCs/>
                <w:kern w:val="2"/>
                <w:sz w:val="21"/>
                <w:szCs w:val="21"/>
                <w:lang w:val="en-US" w:eastAsia="zh-CN" w:bidi="ar-SA"/>
              </w:rPr>
            </w:pPr>
          </w:p>
        </w:tc>
      </w:tr>
      <w:tr w14:paraId="35E8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8522" w:type="dxa"/>
            <w:gridSpan w:val="4"/>
          </w:tcPr>
          <w:p w14:paraId="4FF9B6EB">
            <w:pPr>
              <w:pStyle w:val="2"/>
              <w:ind w:left="0" w:leftChars="0" w:firstLine="0" w:firstLineChars="0"/>
              <w:rPr>
                <w:rFonts w:hint="default" w:ascii="仿宋" w:hAnsi="仿宋" w:eastAsia="仿宋" w:cs="仿宋"/>
                <w:b w:val="0"/>
                <w:bCs/>
                <w:kern w:val="2"/>
                <w:sz w:val="21"/>
                <w:szCs w:val="21"/>
                <w:lang w:val="en-US" w:eastAsia="zh-CN" w:bidi="ar-SA"/>
              </w:rPr>
            </w:pPr>
            <w:r>
              <w:rPr>
                <w:rFonts w:hint="eastAsia" w:ascii="仿宋" w:hAnsi="仿宋" w:eastAsia="仿宋" w:cs="仿宋"/>
                <w:b/>
                <w:bCs w:val="0"/>
                <w:kern w:val="2"/>
                <w:sz w:val="21"/>
                <w:szCs w:val="21"/>
                <w:lang w:val="en-US" w:eastAsia="zh-CN" w:bidi="ar-SA"/>
              </w:rPr>
              <w:t>备注:供应商可择一选择响应类型，也可以全选。采购方根据实际响应情况确定采购方式。</w:t>
            </w:r>
          </w:p>
        </w:tc>
      </w:tr>
    </w:tbl>
    <w:p w14:paraId="4CA70DC5">
      <w:pPr>
        <w:pStyle w:val="2"/>
        <w:ind w:left="0" w:leftChars="0" w:firstLine="0" w:firstLineChars="0"/>
        <w:rPr>
          <w:rFonts w:hint="eastAsia"/>
          <w:lang w:val="en-US" w:eastAsia="zh-CN"/>
        </w:rPr>
      </w:pPr>
    </w:p>
    <w:p w14:paraId="7E8263EF">
      <w:pPr>
        <w:pStyle w:val="2"/>
        <w:ind w:left="0" w:leftChars="0" w:firstLine="0" w:firstLineChars="0"/>
        <w:rPr>
          <w:rFonts w:hint="default"/>
          <w:lang w:val="en-US"/>
        </w:rPr>
      </w:pPr>
    </w:p>
    <w:p w14:paraId="03896DBD">
      <w:pPr>
        <w:spacing w:line="320" w:lineRule="exact"/>
        <w:rPr>
          <w:rFonts w:hint="eastAsia" w:ascii="仿宋" w:hAnsi="仿宋" w:eastAsia="仿宋"/>
          <w:b/>
          <w:sz w:val="24"/>
          <w:szCs w:val="24"/>
          <w:lang w:val="en-US" w:eastAsia="zh-CN"/>
        </w:rPr>
      </w:pPr>
    </w:p>
    <w:p w14:paraId="35E5D31E">
      <w:pPr>
        <w:spacing w:line="520" w:lineRule="exact"/>
        <w:jc w:val="both"/>
        <w:rPr>
          <w:rFonts w:hint="default" w:ascii="仿宋_GB2312" w:hAnsi="仿宋_GB2312" w:eastAsia="仿宋_GB2312" w:cs="仿宋_GB2312"/>
          <w:sz w:val="28"/>
          <w:szCs w:val="28"/>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E54478">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25BCB">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425BCB">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57F76"/>
    <w:multiLevelType w:val="singleLevel"/>
    <w:tmpl w:val="C0D57F76"/>
    <w:lvl w:ilvl="0" w:tentative="0">
      <w:start w:val="1"/>
      <w:numFmt w:val="decimal"/>
      <w:suff w:val="nothing"/>
      <w:lvlText w:val="%1、"/>
      <w:lvlJc w:val="left"/>
    </w:lvl>
  </w:abstractNum>
  <w:abstractNum w:abstractNumId="1">
    <w:nsid w:val="3E3D338F"/>
    <w:multiLevelType w:val="singleLevel"/>
    <w:tmpl w:val="3E3D338F"/>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kNTIyYTNiOGU4YzIwYWUyOTE5NDgyMGI5ODlmNTIifQ=="/>
  </w:docVars>
  <w:rsids>
    <w:rsidRoot w:val="002851E5"/>
    <w:rsid w:val="0006657C"/>
    <w:rsid w:val="001248D2"/>
    <w:rsid w:val="00155FBA"/>
    <w:rsid w:val="00173E99"/>
    <w:rsid w:val="001814E4"/>
    <w:rsid w:val="001B5199"/>
    <w:rsid w:val="00211D28"/>
    <w:rsid w:val="00227566"/>
    <w:rsid w:val="002823E3"/>
    <w:rsid w:val="002851E5"/>
    <w:rsid w:val="002A1FB3"/>
    <w:rsid w:val="002E52E9"/>
    <w:rsid w:val="003011B8"/>
    <w:rsid w:val="0030766C"/>
    <w:rsid w:val="003349D4"/>
    <w:rsid w:val="00353359"/>
    <w:rsid w:val="003A21D1"/>
    <w:rsid w:val="003C7889"/>
    <w:rsid w:val="004A21DE"/>
    <w:rsid w:val="005302CA"/>
    <w:rsid w:val="00534110"/>
    <w:rsid w:val="00542BF7"/>
    <w:rsid w:val="0054349F"/>
    <w:rsid w:val="005501AB"/>
    <w:rsid w:val="005F732A"/>
    <w:rsid w:val="00604008"/>
    <w:rsid w:val="006875F0"/>
    <w:rsid w:val="006A28F9"/>
    <w:rsid w:val="006D7760"/>
    <w:rsid w:val="007138D0"/>
    <w:rsid w:val="00720399"/>
    <w:rsid w:val="007A7140"/>
    <w:rsid w:val="00811923"/>
    <w:rsid w:val="008839C7"/>
    <w:rsid w:val="008D1090"/>
    <w:rsid w:val="008F4EAC"/>
    <w:rsid w:val="00920750"/>
    <w:rsid w:val="00921AFD"/>
    <w:rsid w:val="00927BD2"/>
    <w:rsid w:val="00A42F87"/>
    <w:rsid w:val="00A575F9"/>
    <w:rsid w:val="00A90253"/>
    <w:rsid w:val="00AB2CBB"/>
    <w:rsid w:val="00B06F22"/>
    <w:rsid w:val="00B2494E"/>
    <w:rsid w:val="00B40703"/>
    <w:rsid w:val="00B61661"/>
    <w:rsid w:val="00B67316"/>
    <w:rsid w:val="00BA055D"/>
    <w:rsid w:val="00BC7D10"/>
    <w:rsid w:val="00C30BF6"/>
    <w:rsid w:val="00D64AE1"/>
    <w:rsid w:val="00D72607"/>
    <w:rsid w:val="00D7333D"/>
    <w:rsid w:val="00D92192"/>
    <w:rsid w:val="00DC338C"/>
    <w:rsid w:val="00DD6A30"/>
    <w:rsid w:val="00DE2A72"/>
    <w:rsid w:val="00E84574"/>
    <w:rsid w:val="00F13471"/>
    <w:rsid w:val="00F258F5"/>
    <w:rsid w:val="012F41F1"/>
    <w:rsid w:val="0136557F"/>
    <w:rsid w:val="01B12E58"/>
    <w:rsid w:val="03835D4E"/>
    <w:rsid w:val="03F139E0"/>
    <w:rsid w:val="04863587"/>
    <w:rsid w:val="05500BDA"/>
    <w:rsid w:val="056B4493"/>
    <w:rsid w:val="061F7B2F"/>
    <w:rsid w:val="064B4162"/>
    <w:rsid w:val="070B300A"/>
    <w:rsid w:val="07516B36"/>
    <w:rsid w:val="07604BD9"/>
    <w:rsid w:val="076646E5"/>
    <w:rsid w:val="07B64775"/>
    <w:rsid w:val="086F1AD4"/>
    <w:rsid w:val="088C507C"/>
    <w:rsid w:val="089F1C5C"/>
    <w:rsid w:val="08D15B8E"/>
    <w:rsid w:val="08E51639"/>
    <w:rsid w:val="09016473"/>
    <w:rsid w:val="09152232"/>
    <w:rsid w:val="0A943317"/>
    <w:rsid w:val="0AD10AFE"/>
    <w:rsid w:val="0B6F2145"/>
    <w:rsid w:val="0B927856"/>
    <w:rsid w:val="0C50186C"/>
    <w:rsid w:val="0C880468"/>
    <w:rsid w:val="0CE83C79"/>
    <w:rsid w:val="0D687700"/>
    <w:rsid w:val="0E0013EF"/>
    <w:rsid w:val="10D821AF"/>
    <w:rsid w:val="1310799E"/>
    <w:rsid w:val="139A199E"/>
    <w:rsid w:val="139C124C"/>
    <w:rsid w:val="159468C1"/>
    <w:rsid w:val="176A0F9C"/>
    <w:rsid w:val="17CC40F0"/>
    <w:rsid w:val="17D12783"/>
    <w:rsid w:val="18FE77EB"/>
    <w:rsid w:val="1B1F6C2C"/>
    <w:rsid w:val="1B7E1BA5"/>
    <w:rsid w:val="1BD01CD5"/>
    <w:rsid w:val="1C4F3541"/>
    <w:rsid w:val="1D824A33"/>
    <w:rsid w:val="1D862F93"/>
    <w:rsid w:val="1D976F4E"/>
    <w:rsid w:val="1D994A74"/>
    <w:rsid w:val="1DDE4B7D"/>
    <w:rsid w:val="1DE21356"/>
    <w:rsid w:val="1E470974"/>
    <w:rsid w:val="1E734319"/>
    <w:rsid w:val="1F140147"/>
    <w:rsid w:val="1F4F0A72"/>
    <w:rsid w:val="2031368A"/>
    <w:rsid w:val="20315438"/>
    <w:rsid w:val="20584ED7"/>
    <w:rsid w:val="20711CD8"/>
    <w:rsid w:val="212154AC"/>
    <w:rsid w:val="22AA14D2"/>
    <w:rsid w:val="23312AC9"/>
    <w:rsid w:val="239F090A"/>
    <w:rsid w:val="23FA0237"/>
    <w:rsid w:val="24547947"/>
    <w:rsid w:val="24816262"/>
    <w:rsid w:val="24823019"/>
    <w:rsid w:val="24CD09F7"/>
    <w:rsid w:val="251F7F55"/>
    <w:rsid w:val="25B34B41"/>
    <w:rsid w:val="25B71C4B"/>
    <w:rsid w:val="26151D54"/>
    <w:rsid w:val="2652435A"/>
    <w:rsid w:val="26824FFE"/>
    <w:rsid w:val="26D44584"/>
    <w:rsid w:val="27B150B0"/>
    <w:rsid w:val="27E31B46"/>
    <w:rsid w:val="27F75540"/>
    <w:rsid w:val="287131C0"/>
    <w:rsid w:val="288527C5"/>
    <w:rsid w:val="28885E11"/>
    <w:rsid w:val="28A569C3"/>
    <w:rsid w:val="28BD63A5"/>
    <w:rsid w:val="28D63020"/>
    <w:rsid w:val="296F6D42"/>
    <w:rsid w:val="2A355B25"/>
    <w:rsid w:val="2B26153D"/>
    <w:rsid w:val="2B361C7F"/>
    <w:rsid w:val="2C2B3683"/>
    <w:rsid w:val="2C385DA0"/>
    <w:rsid w:val="2D522E91"/>
    <w:rsid w:val="2D687FBF"/>
    <w:rsid w:val="2D692572"/>
    <w:rsid w:val="2DC85365"/>
    <w:rsid w:val="2E3107AB"/>
    <w:rsid w:val="2F065C15"/>
    <w:rsid w:val="2FD91648"/>
    <w:rsid w:val="30061912"/>
    <w:rsid w:val="31523460"/>
    <w:rsid w:val="320D55D9"/>
    <w:rsid w:val="323427F7"/>
    <w:rsid w:val="32744451"/>
    <w:rsid w:val="346C4839"/>
    <w:rsid w:val="347B2CCE"/>
    <w:rsid w:val="34853B4C"/>
    <w:rsid w:val="34F82C40"/>
    <w:rsid w:val="3552429E"/>
    <w:rsid w:val="3619279E"/>
    <w:rsid w:val="36CE3589"/>
    <w:rsid w:val="37295440"/>
    <w:rsid w:val="37691503"/>
    <w:rsid w:val="37A97B52"/>
    <w:rsid w:val="37DC1CD5"/>
    <w:rsid w:val="388F11FD"/>
    <w:rsid w:val="39643193"/>
    <w:rsid w:val="39D944F1"/>
    <w:rsid w:val="39EC12C1"/>
    <w:rsid w:val="3AC0768C"/>
    <w:rsid w:val="3ADB6A14"/>
    <w:rsid w:val="3B507F23"/>
    <w:rsid w:val="3B5D312D"/>
    <w:rsid w:val="3C4B742A"/>
    <w:rsid w:val="3CBC40CD"/>
    <w:rsid w:val="3DA45043"/>
    <w:rsid w:val="3E083824"/>
    <w:rsid w:val="3E2717D1"/>
    <w:rsid w:val="40714B62"/>
    <w:rsid w:val="40C8079B"/>
    <w:rsid w:val="410F2EFD"/>
    <w:rsid w:val="41600973"/>
    <w:rsid w:val="41AE6491"/>
    <w:rsid w:val="41AF2209"/>
    <w:rsid w:val="432307B8"/>
    <w:rsid w:val="43AF029E"/>
    <w:rsid w:val="43E57153"/>
    <w:rsid w:val="43EC5DE8"/>
    <w:rsid w:val="44EB17AA"/>
    <w:rsid w:val="451C7BB5"/>
    <w:rsid w:val="458319E2"/>
    <w:rsid w:val="45F8417E"/>
    <w:rsid w:val="45FB5A1D"/>
    <w:rsid w:val="46160AA8"/>
    <w:rsid w:val="462D0357"/>
    <w:rsid w:val="466E61EE"/>
    <w:rsid w:val="47A5321C"/>
    <w:rsid w:val="47E43A3D"/>
    <w:rsid w:val="4883564A"/>
    <w:rsid w:val="48CE11C6"/>
    <w:rsid w:val="490824A1"/>
    <w:rsid w:val="4953791E"/>
    <w:rsid w:val="4A2F038B"/>
    <w:rsid w:val="4A4C4A99"/>
    <w:rsid w:val="4B0B6702"/>
    <w:rsid w:val="4B1D6435"/>
    <w:rsid w:val="4B92297F"/>
    <w:rsid w:val="4BFB6776"/>
    <w:rsid w:val="4C1C66ED"/>
    <w:rsid w:val="4CA961D2"/>
    <w:rsid w:val="4CE80A29"/>
    <w:rsid w:val="4D081EA2"/>
    <w:rsid w:val="4DDC4386"/>
    <w:rsid w:val="4EDF45DA"/>
    <w:rsid w:val="4F075432"/>
    <w:rsid w:val="4F455E49"/>
    <w:rsid w:val="4F5148FF"/>
    <w:rsid w:val="509947B0"/>
    <w:rsid w:val="51422751"/>
    <w:rsid w:val="5148001E"/>
    <w:rsid w:val="51696C56"/>
    <w:rsid w:val="519C5836"/>
    <w:rsid w:val="522462FB"/>
    <w:rsid w:val="52B74D5D"/>
    <w:rsid w:val="5435659E"/>
    <w:rsid w:val="545F361A"/>
    <w:rsid w:val="5472334E"/>
    <w:rsid w:val="54DC110F"/>
    <w:rsid w:val="54E87AB4"/>
    <w:rsid w:val="557D01FC"/>
    <w:rsid w:val="562554BF"/>
    <w:rsid w:val="56494582"/>
    <w:rsid w:val="56EE359A"/>
    <w:rsid w:val="571701DC"/>
    <w:rsid w:val="57EB467E"/>
    <w:rsid w:val="586C27AA"/>
    <w:rsid w:val="58906498"/>
    <w:rsid w:val="58DC7930"/>
    <w:rsid w:val="58DD716B"/>
    <w:rsid w:val="59A87812"/>
    <w:rsid w:val="5A85561B"/>
    <w:rsid w:val="5B345801"/>
    <w:rsid w:val="5C0D2777"/>
    <w:rsid w:val="5C565A67"/>
    <w:rsid w:val="5C6C7B1D"/>
    <w:rsid w:val="5CE51E91"/>
    <w:rsid w:val="5CE875D1"/>
    <w:rsid w:val="5D4F4B31"/>
    <w:rsid w:val="5D682495"/>
    <w:rsid w:val="5DD92690"/>
    <w:rsid w:val="5E39312E"/>
    <w:rsid w:val="5E6D6BC5"/>
    <w:rsid w:val="5EBE53E1"/>
    <w:rsid w:val="5F4004F3"/>
    <w:rsid w:val="5F6441DB"/>
    <w:rsid w:val="60036B0E"/>
    <w:rsid w:val="600D594C"/>
    <w:rsid w:val="606130E4"/>
    <w:rsid w:val="612260FC"/>
    <w:rsid w:val="613A2C7B"/>
    <w:rsid w:val="61D31E61"/>
    <w:rsid w:val="61EB473F"/>
    <w:rsid w:val="620A72BB"/>
    <w:rsid w:val="62D90A3C"/>
    <w:rsid w:val="63071143"/>
    <w:rsid w:val="63091321"/>
    <w:rsid w:val="63483E85"/>
    <w:rsid w:val="63505130"/>
    <w:rsid w:val="64B11C70"/>
    <w:rsid w:val="64C07051"/>
    <w:rsid w:val="66215C34"/>
    <w:rsid w:val="664D3C1B"/>
    <w:rsid w:val="66B772E6"/>
    <w:rsid w:val="681F5143"/>
    <w:rsid w:val="68BF0CAF"/>
    <w:rsid w:val="694A61EF"/>
    <w:rsid w:val="69C73CE4"/>
    <w:rsid w:val="69FD1611"/>
    <w:rsid w:val="6A0665BA"/>
    <w:rsid w:val="6A115841"/>
    <w:rsid w:val="6AE70FA0"/>
    <w:rsid w:val="6B0D3978"/>
    <w:rsid w:val="6B550731"/>
    <w:rsid w:val="6D2F5E28"/>
    <w:rsid w:val="6D622406"/>
    <w:rsid w:val="6E5715EA"/>
    <w:rsid w:val="6E6144C8"/>
    <w:rsid w:val="6F71097A"/>
    <w:rsid w:val="703C5B33"/>
    <w:rsid w:val="72693AA2"/>
    <w:rsid w:val="734533AA"/>
    <w:rsid w:val="737E5413"/>
    <w:rsid w:val="73E334C8"/>
    <w:rsid w:val="73FE3706"/>
    <w:rsid w:val="74051691"/>
    <w:rsid w:val="74454183"/>
    <w:rsid w:val="746A3BEA"/>
    <w:rsid w:val="75A31161"/>
    <w:rsid w:val="7621477C"/>
    <w:rsid w:val="76911902"/>
    <w:rsid w:val="773C186D"/>
    <w:rsid w:val="77996CC0"/>
    <w:rsid w:val="77C3577D"/>
    <w:rsid w:val="77DA1522"/>
    <w:rsid w:val="7A016D9E"/>
    <w:rsid w:val="7A7158C0"/>
    <w:rsid w:val="7A841E66"/>
    <w:rsid w:val="7AE447A3"/>
    <w:rsid w:val="7B5A4438"/>
    <w:rsid w:val="7B71585E"/>
    <w:rsid w:val="7BF86AD1"/>
    <w:rsid w:val="7C876F1B"/>
    <w:rsid w:val="7D951CD7"/>
    <w:rsid w:val="7F437511"/>
    <w:rsid w:val="7FCE7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7">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8">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7">
    <w:name w:val="Default Paragraph Font"/>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4"/>
    <w:qFormat/>
    <w:uiPriority w:val="0"/>
    <w:pPr>
      <w:spacing w:line="480" w:lineRule="auto"/>
      <w:ind w:firstLine="600"/>
    </w:pPr>
    <w:rPr>
      <w:sz w:val="28"/>
      <w:szCs w:val="20"/>
    </w:rPr>
  </w:style>
  <w:style w:type="paragraph" w:styleId="4">
    <w:name w:val="annotation subject"/>
    <w:basedOn w:val="5"/>
    <w:next w:val="1"/>
    <w:qFormat/>
    <w:uiPriority w:val="0"/>
    <w:rPr>
      <w:b/>
      <w:bCs/>
    </w:rPr>
  </w:style>
  <w:style w:type="paragraph" w:styleId="5">
    <w:name w:val="annotation text"/>
    <w:basedOn w:val="1"/>
    <w:semiHidden/>
    <w:qFormat/>
    <w:uiPriority w:val="99"/>
    <w:pPr>
      <w:jc w:val="left"/>
    </w:pPr>
  </w:style>
  <w:style w:type="paragraph" w:styleId="9">
    <w:name w:val="Body Text"/>
    <w:basedOn w:val="1"/>
    <w:next w:val="10"/>
    <w:qFormat/>
    <w:uiPriority w:val="0"/>
    <w:pPr>
      <w:spacing w:after="120"/>
    </w:pPr>
  </w:style>
  <w:style w:type="paragraph" w:customStyle="1" w:styleId="10">
    <w:name w:val="目录 71"/>
    <w:basedOn w:val="1"/>
    <w:next w:val="1"/>
    <w:autoRedefine/>
    <w:qFormat/>
    <w:uiPriority w:val="0"/>
    <w:pPr>
      <w:ind w:left="2520"/>
    </w:pPr>
    <w:rPr>
      <w:rFonts w:ascii="Calibri"/>
    </w:rPr>
  </w:style>
  <w:style w:type="paragraph" w:styleId="11">
    <w:name w:val="footer"/>
    <w:basedOn w:val="1"/>
    <w:link w:val="22"/>
    <w:autoRedefine/>
    <w:semiHidden/>
    <w:unhideWhenUsed/>
    <w:qFormat/>
    <w:uiPriority w:val="99"/>
    <w:pPr>
      <w:tabs>
        <w:tab w:val="center" w:pos="4153"/>
        <w:tab w:val="right" w:pos="8306"/>
      </w:tabs>
      <w:snapToGrid w:val="0"/>
      <w:jc w:val="left"/>
    </w:pPr>
    <w:rPr>
      <w:sz w:val="18"/>
      <w:szCs w:val="18"/>
    </w:rPr>
  </w:style>
  <w:style w:type="paragraph" w:styleId="12">
    <w:name w:val="header"/>
    <w:basedOn w:val="1"/>
    <w:link w:val="21"/>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w:basedOn w:val="9"/>
    <w:unhideWhenUsed/>
    <w:qFormat/>
    <w:uiPriority w:val="99"/>
    <w:pPr>
      <w:ind w:firstLine="420" w:firstLineChars="100"/>
    </w:pPr>
    <w:rPr>
      <w:rFonts w:ascii="Times New Roman" w:hAnsi="Times New Roman"/>
      <w:kern w:val="0"/>
      <w:sz w:val="20"/>
      <w:szCs w:val="20"/>
    </w:rPr>
  </w:style>
  <w:style w:type="table" w:styleId="16">
    <w:name w:val="Table Grid"/>
    <w:basedOn w:val="1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8">
    <w:name w:val="Strong"/>
    <w:basedOn w:val="17"/>
    <w:qFormat/>
    <w:uiPriority w:val="0"/>
    <w:rPr>
      <w:b/>
    </w:rPr>
  </w:style>
  <w:style w:type="paragraph" w:customStyle="1" w:styleId="19">
    <w:name w:val="style4"/>
    <w:basedOn w:val="1"/>
    <w:next w:val="20"/>
    <w:autoRedefine/>
    <w:qFormat/>
    <w:uiPriority w:val="0"/>
    <w:pPr>
      <w:widowControl/>
      <w:spacing w:before="280" w:after="280"/>
    </w:pPr>
    <w:rPr>
      <w:rFonts w:ascii="宋体" w:hAnsi="Times New Roman" w:eastAsia="宋体" w:cs="Times New Roman"/>
      <w:sz w:val="18"/>
    </w:rPr>
  </w:style>
  <w:style w:type="paragraph" w:customStyle="1" w:styleId="20">
    <w:name w:val="2"/>
    <w:next w:val="1"/>
    <w:autoRedefine/>
    <w:qFormat/>
    <w:uiPriority w:val="0"/>
    <w:pPr>
      <w:widowControl w:val="0"/>
      <w:jc w:val="both"/>
    </w:pPr>
    <w:rPr>
      <w:rFonts w:ascii="Calibri" w:hAnsi="Calibri" w:eastAsia="宋体" w:cs="Times New Roman"/>
      <w:sz w:val="21"/>
      <w:szCs w:val="22"/>
      <w:lang w:val="en-US" w:eastAsia="zh-CN" w:bidi="ar-SA"/>
    </w:rPr>
  </w:style>
  <w:style w:type="character" w:customStyle="1" w:styleId="21">
    <w:name w:val="页眉 Char"/>
    <w:basedOn w:val="17"/>
    <w:link w:val="12"/>
    <w:autoRedefine/>
    <w:semiHidden/>
    <w:qFormat/>
    <w:uiPriority w:val="99"/>
    <w:rPr>
      <w:sz w:val="18"/>
      <w:szCs w:val="18"/>
    </w:rPr>
  </w:style>
  <w:style w:type="character" w:customStyle="1" w:styleId="22">
    <w:name w:val="页脚 Char"/>
    <w:basedOn w:val="17"/>
    <w:link w:val="11"/>
    <w:autoRedefine/>
    <w:semiHidden/>
    <w:qFormat/>
    <w:uiPriority w:val="99"/>
    <w:rPr>
      <w:sz w:val="18"/>
      <w:szCs w:val="18"/>
    </w:rPr>
  </w:style>
  <w:style w:type="character" w:customStyle="1" w:styleId="23">
    <w:name w:val="NormalCharacter"/>
    <w:autoRedefine/>
    <w:qFormat/>
    <w:uiPriority w:val="0"/>
  </w:style>
  <w:style w:type="paragraph" w:customStyle="1" w:styleId="24">
    <w:name w:val="表格文字"/>
    <w:basedOn w:val="1"/>
    <w:qFormat/>
    <w:uiPriority w:val="1624"/>
    <w:pPr>
      <w:spacing w:line="420" w:lineRule="atLeast"/>
      <w:textAlignment w:val="baseline"/>
    </w:pPr>
    <w:rPr>
      <w:szCs w:val="24"/>
    </w:rPr>
  </w:style>
  <w:style w:type="paragraph" w:customStyle="1" w:styleId="25">
    <w:name w:val="Table Text"/>
    <w:basedOn w:val="1"/>
    <w:semiHidden/>
    <w:qFormat/>
    <w:uiPriority w:val="0"/>
    <w:rPr>
      <w:rFonts w:ascii="宋体" w:hAnsi="宋体" w:eastAsia="宋体" w:cs="宋体"/>
      <w:sz w:val="20"/>
      <w:szCs w:val="20"/>
      <w:lang w:val="en-US" w:eastAsia="en-US" w:bidi="ar-SA"/>
    </w:rPr>
  </w:style>
  <w:style w:type="table" w:customStyle="1" w:styleId="2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2603</Words>
  <Characters>2687</Characters>
  <Lines>3</Lines>
  <Paragraphs>1</Paragraphs>
  <TotalTime>0</TotalTime>
  <ScaleCrop>false</ScaleCrop>
  <LinksUpToDate>false</LinksUpToDate>
  <CharactersWithSpaces>2756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2020-09-14T23:26:00Z</dcterms:created>
  <dc:creator>AutoBVT</dc:creator>
  <cp:lastModifiedBy>陶振保</cp:lastModifiedBy>
  <dcterms:modified xsi:type="dcterms:W3CDTF">2026-08-20T12:28:31Z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CE2C5C9441544189943F6F13B26EBC69_13</vt:lpwstr>
  </property>
  <property fmtid="{D5CDD505-2E9C-101B-9397-08002B2CF9AE}" pid="4" name="KSOTemplateDocerSaveRecord">
    <vt:lpwstr>eyJoZGlkIjoiMjY2YzIyYjc0NjNjOTRmMjBhNzE0NTliYWU4NDc2NjgiLCJ1c2VySWQiOiIyNzAyMzUxNTYifQ==</vt:lpwstr>
  </property>
</Properties>
</file>